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440B8"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r>
        <w:rPr>
          <w:rStyle w:val="normaltextrun"/>
          <w:rFonts w:ascii="Calibri Light" w:eastAsiaTheme="majorEastAsia" w:hAnsi="Calibri Light" w:cs="Calibri Light"/>
          <w:b/>
          <w:bCs/>
          <w:color w:val="0455A4"/>
          <w:sz w:val="22"/>
          <w:szCs w:val="22"/>
        </w:rPr>
        <w:t>22.1 Self-Supporting Funds Overview</w:t>
      </w:r>
    </w:p>
    <w:p w14:paraId="6C737CE0"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p>
    <w:p w14:paraId="258A99C3"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r>
        <w:rPr>
          <w:rStyle w:val="normaltextrun"/>
          <w:rFonts w:ascii="Calibri Light" w:eastAsiaTheme="majorEastAsia" w:hAnsi="Calibri Light" w:cs="Calibri Light"/>
          <w:b/>
          <w:bCs/>
          <w:color w:val="13294B"/>
          <w:sz w:val="22"/>
          <w:szCs w:val="22"/>
        </w:rPr>
        <w:t>Policy Statement</w:t>
      </w:r>
    </w:p>
    <w:p w14:paraId="5139861C"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r>
        <w:rPr>
          <w:rStyle w:val="normaltextrun"/>
          <w:rFonts w:ascii="Calibri Light" w:eastAsiaTheme="majorEastAsia" w:hAnsi="Calibri Light" w:cs="Calibri Light"/>
          <w:color w:val="000000"/>
          <w:sz w:val="22"/>
          <w:szCs w:val="22"/>
        </w:rPr>
        <w:t>Units must ensure that self-supporting funds (SSFs) are properly accounted for within Banner.</w:t>
      </w:r>
    </w:p>
    <w:p w14:paraId="26DAC9D3"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p>
    <w:p w14:paraId="327D5B7A"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r>
        <w:rPr>
          <w:rStyle w:val="normaltextrun"/>
          <w:rFonts w:ascii="Calibri Light" w:eastAsiaTheme="majorEastAsia" w:hAnsi="Calibri Light" w:cs="Calibri Light"/>
          <w:b/>
          <w:bCs/>
          <w:color w:val="13294B"/>
          <w:sz w:val="22"/>
          <w:szCs w:val="22"/>
        </w:rPr>
        <w:t>Reason for the Policy</w:t>
      </w:r>
    </w:p>
    <w:p w14:paraId="0E2B172A"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r>
        <w:rPr>
          <w:rStyle w:val="normaltextrun"/>
          <w:rFonts w:ascii="Calibri Light" w:eastAsiaTheme="majorEastAsia" w:hAnsi="Calibri Light" w:cs="Calibri Light"/>
          <w:color w:val="000000"/>
          <w:sz w:val="22"/>
          <w:szCs w:val="22"/>
        </w:rPr>
        <w:t>To ensure accurate reporting for the University of Illinois System’s audited financial statements.</w:t>
      </w:r>
    </w:p>
    <w:p w14:paraId="26245072"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p>
    <w:p w14:paraId="5A2EE301"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r>
        <w:rPr>
          <w:rStyle w:val="normaltextrun"/>
          <w:rFonts w:ascii="Calibri Light" w:eastAsiaTheme="majorEastAsia" w:hAnsi="Calibri Light" w:cs="Calibri Light"/>
          <w:b/>
          <w:bCs/>
          <w:color w:val="13294B"/>
          <w:sz w:val="22"/>
          <w:szCs w:val="22"/>
        </w:rPr>
        <w:t>Applicability of the Policy</w:t>
      </w:r>
    </w:p>
    <w:p w14:paraId="53C7830A" w14:textId="77777777" w:rsidR="00920A23" w:rsidRDefault="00920A23" w:rsidP="00920A23">
      <w:pPr>
        <w:pStyle w:val="NormalWeb"/>
        <w:shd w:val="clear" w:color="auto" w:fill="FFFFFF"/>
        <w:spacing w:before="0" w:beforeAutospacing="0" w:after="0" w:afterAutospacing="0"/>
        <w:contextualSpacing/>
        <w:jc w:val="both"/>
        <w:rPr>
          <w:rStyle w:val="normaltextrun"/>
          <w:rFonts w:eastAsiaTheme="majorEastAsia"/>
        </w:rPr>
      </w:pPr>
      <w:r>
        <w:rPr>
          <w:rStyle w:val="normaltextrun"/>
          <w:rFonts w:ascii="Calibri Light" w:eastAsiaTheme="majorEastAsia" w:hAnsi="Calibri Light" w:cs="Calibri Light"/>
          <w:color w:val="000000"/>
          <w:sz w:val="22"/>
          <w:szCs w:val="22"/>
        </w:rPr>
        <w:t>All units who manage SSFs.</w:t>
      </w:r>
    </w:p>
    <w:p w14:paraId="27FB0321" w14:textId="77777777" w:rsidR="00920A23" w:rsidRDefault="00920A23" w:rsidP="00920A23">
      <w:pPr>
        <w:pStyle w:val="paragraph"/>
        <w:shd w:val="clear" w:color="auto" w:fill="FFFFFF"/>
        <w:spacing w:before="0" w:beforeAutospacing="0" w:after="0" w:afterAutospacing="0"/>
        <w:jc w:val="both"/>
        <w:textAlignment w:val="baseline"/>
      </w:pPr>
    </w:p>
    <w:p w14:paraId="63B3E36D"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r>
        <w:rPr>
          <w:rStyle w:val="normaltextrun"/>
          <w:rFonts w:ascii="Calibri Light" w:eastAsiaTheme="majorEastAsia" w:hAnsi="Calibri Light" w:cs="Calibri Light"/>
          <w:b/>
          <w:bCs/>
          <w:color w:val="13294B"/>
          <w:sz w:val="22"/>
          <w:szCs w:val="22"/>
        </w:rPr>
        <w:t>Procedure</w:t>
      </w:r>
    </w:p>
    <w:p w14:paraId="0728AFA8" w14:textId="77777777" w:rsidR="00920A23" w:rsidRDefault="00920A23" w:rsidP="00920A23">
      <w:pPr>
        <w:pStyle w:val="paragraph"/>
        <w:shd w:val="clear" w:color="auto" w:fill="FFFFFF"/>
        <w:spacing w:before="0" w:beforeAutospacing="0" w:after="0" w:afterAutospacing="0"/>
        <w:jc w:val="both"/>
        <w:textAlignment w:val="baseline"/>
        <w:rPr>
          <w:rStyle w:val="eop"/>
          <w:rFonts w:eastAsiaTheme="majorEastAsia"/>
          <w:color w:val="000000"/>
        </w:rPr>
      </w:pPr>
      <w:r>
        <w:rPr>
          <w:rStyle w:val="normaltextrun"/>
          <w:rFonts w:ascii="Calibri Light" w:eastAsiaTheme="majorEastAsia" w:hAnsi="Calibri Light" w:cs="Calibri Light"/>
          <w:color w:val="000000"/>
          <w:sz w:val="22"/>
          <w:szCs w:val="22"/>
        </w:rPr>
        <w:t>To ensure self-supporting funds (SSFs) are properly accounted for in Banner, follow the guidelines and procedural steps below.</w:t>
      </w:r>
    </w:p>
    <w:p w14:paraId="3EE77874" w14:textId="77777777" w:rsidR="00920A23" w:rsidRDefault="00920A23" w:rsidP="00920A23">
      <w:pPr>
        <w:pStyle w:val="paragraph"/>
        <w:shd w:val="clear" w:color="auto" w:fill="FFFFFF"/>
        <w:spacing w:before="0" w:beforeAutospacing="0" w:after="0" w:afterAutospacing="0"/>
        <w:jc w:val="both"/>
        <w:textAlignment w:val="baseline"/>
      </w:pPr>
    </w:p>
    <w:p w14:paraId="5104CB5D" w14:textId="77777777" w:rsidR="00920A23" w:rsidRDefault="00920A23" w:rsidP="00920A23">
      <w:pPr>
        <w:pStyle w:val="paragraph"/>
        <w:numPr>
          <w:ilvl w:val="0"/>
          <w:numId w:val="1"/>
        </w:numPr>
        <w:shd w:val="clear" w:color="auto" w:fill="FFFFFF"/>
        <w:spacing w:before="0" w:beforeAutospacing="0" w:after="0" w:afterAutospacing="0"/>
        <w:contextualSpacing/>
        <w:jc w:val="both"/>
        <w:textAlignment w:val="baseline"/>
        <w:rPr>
          <w:rStyle w:val="normaltextrun"/>
        </w:rPr>
      </w:pPr>
      <w:r>
        <w:rPr>
          <w:rStyle w:val="normaltextrun"/>
          <w:rFonts w:ascii="Calibri Light" w:eastAsiaTheme="majorEastAsia" w:hAnsi="Calibri Light" w:cs="Calibri Light"/>
          <w:color w:val="000000"/>
          <w:sz w:val="22"/>
          <w:szCs w:val="22"/>
        </w:rPr>
        <w:t xml:space="preserve">Understand the purpose of SSFs. </w:t>
      </w:r>
    </w:p>
    <w:p w14:paraId="3FFA84BA" w14:textId="77777777" w:rsidR="00920A23" w:rsidRDefault="00920A23" w:rsidP="00920A23">
      <w:pPr>
        <w:pStyle w:val="paragraph"/>
        <w:numPr>
          <w:ilvl w:val="4"/>
          <w:numId w:val="2"/>
        </w:numPr>
        <w:shd w:val="clear" w:color="auto" w:fill="FFFFFF"/>
        <w:spacing w:before="0" w:beforeAutospacing="0" w:after="0" w:afterAutospacing="0"/>
        <w:contextualSpacing/>
        <w:jc w:val="both"/>
        <w:textAlignment w:val="baseline"/>
      </w:pPr>
      <w:r>
        <w:rPr>
          <w:rFonts w:ascii="Calibri Light" w:hAnsi="Calibri Light" w:cs="Calibri Light"/>
          <w:sz w:val="22"/>
          <w:szCs w:val="22"/>
        </w:rPr>
        <w:t xml:space="preserve">SSFs (which primarily reside in fund types 3E, 3J, 3M, and 3Q) are funds that account for financial resources generated primarily from the sale of goods and/or services. SSF activities are typically managed as a business-like operation and sell to a variety of customer bases (such as system units, grant funds, students, faculty, staff, the public, and external entities). </w:t>
      </w:r>
    </w:p>
    <w:p w14:paraId="08C2BA87" w14:textId="77777777" w:rsidR="00920A23" w:rsidRDefault="00920A23" w:rsidP="00920A23">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Common examples of self-supporting activities include (but are not limited to): sale of meals or tangible goods; registration fees received for a conference owned and operated by the system; advertising revenue; professional services, such as consulting, technical testing, or event coordination; certain types of student fee assessments, such as course fees, study abroad fees, service fees, or general fees; auxiliary revenue such as housing, parking, or recreational gym fees; and rental income, such as space or equipment rentals.</w:t>
      </w:r>
    </w:p>
    <w:p w14:paraId="317A7030" w14:textId="77777777" w:rsidR="00920A23" w:rsidRDefault="00920A23" w:rsidP="00920A23">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Most SSFs operate on a break-even basis. However, certain types of SSFs may be able to accumulate excess earnings that exceed their operating costs. For further details on how these scenarios are handled, refer to </w:t>
      </w:r>
      <w:commentRangeStart w:id="0"/>
      <w:r>
        <w:rPr>
          <w:rFonts w:ascii="Calibri Light" w:hAnsi="Calibri Light" w:cs="Calibri Light"/>
          <w:sz w:val="22"/>
          <w:szCs w:val="22"/>
        </w:rPr>
        <w:t>22.2 Self-Supporting Excess Funds</w:t>
      </w:r>
      <w:commentRangeEnd w:id="0"/>
      <w:r>
        <w:rPr>
          <w:rStyle w:val="CommentReference"/>
          <w:rFonts w:eastAsiaTheme="minorHAnsi"/>
        </w:rPr>
        <w:commentReference w:id="0"/>
      </w:r>
      <w:r>
        <w:rPr>
          <w:rFonts w:ascii="Calibri Light" w:hAnsi="Calibri Light" w:cs="Calibri Light"/>
          <w:sz w:val="22"/>
          <w:szCs w:val="22"/>
        </w:rPr>
        <w:t xml:space="preserve">. </w:t>
      </w:r>
    </w:p>
    <w:p w14:paraId="412E9C2E" w14:textId="77777777" w:rsidR="00920A23" w:rsidRDefault="00920A23" w:rsidP="00920A23">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While it is generally not recommended to operate a SSF activity at a loss, there are times when this may occur. If a SSF is in deficit due to an operating loss, the unit who is managing the SSF activity will need to analyze expenses and revenues to see where costs can be reduced and to see where revenues can be increased. For further details on how to address self-supporting fund deficits, refer to </w:t>
      </w:r>
      <w:commentRangeStart w:id="1"/>
      <w:r>
        <w:rPr>
          <w:rFonts w:ascii="Calibri Light" w:hAnsi="Calibri Light" w:cs="Calibri Light"/>
          <w:sz w:val="22"/>
          <w:szCs w:val="22"/>
        </w:rPr>
        <w:t>22.3 Self-Supporting Fund Deficits</w:t>
      </w:r>
      <w:commentRangeEnd w:id="1"/>
      <w:r>
        <w:rPr>
          <w:rStyle w:val="CommentReference"/>
          <w:rFonts w:eastAsiaTheme="minorHAnsi"/>
        </w:rPr>
        <w:commentReference w:id="1"/>
      </w:r>
      <w:r>
        <w:rPr>
          <w:rFonts w:ascii="Calibri Light" w:hAnsi="Calibri Light" w:cs="Calibri Light"/>
          <w:sz w:val="22"/>
          <w:szCs w:val="22"/>
        </w:rPr>
        <w:t xml:space="preserve">. </w:t>
      </w:r>
    </w:p>
    <w:p w14:paraId="342A7A23" w14:textId="77777777" w:rsidR="00920A23" w:rsidRDefault="00920A23" w:rsidP="00920A23">
      <w:pPr>
        <w:pStyle w:val="paragraph"/>
        <w:shd w:val="clear" w:color="auto" w:fill="FFFFFF"/>
        <w:spacing w:before="0" w:beforeAutospacing="0" w:after="0" w:afterAutospacing="0"/>
        <w:ind w:left="720"/>
        <w:contextualSpacing/>
        <w:jc w:val="both"/>
        <w:textAlignment w:val="baseline"/>
        <w:rPr>
          <w:rFonts w:ascii="Calibri Light" w:hAnsi="Calibri Light" w:cs="Calibri Light"/>
          <w:sz w:val="22"/>
          <w:szCs w:val="22"/>
        </w:rPr>
      </w:pPr>
      <w:bookmarkStart w:id="2" w:name="_Hlk162445931"/>
    </w:p>
    <w:bookmarkEnd w:id="2"/>
    <w:p w14:paraId="5C9C59FE" w14:textId="77777777" w:rsidR="00920A23" w:rsidRDefault="00920A23" w:rsidP="00920A23">
      <w:pPr>
        <w:pStyle w:val="paragraph"/>
        <w:numPr>
          <w:ilvl w:val="3"/>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Be able to identify SSFs in Banner. </w:t>
      </w:r>
    </w:p>
    <w:p w14:paraId="753557D6" w14:textId="77777777" w:rsidR="00920A23" w:rsidRDefault="00920A23" w:rsidP="00920A23">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SSFs can be identified by examining the fund code segment of the Banner C-FOP. These SSF codes reside in the 300000–399999 numerical range in Banner. </w:t>
      </w:r>
    </w:p>
    <w:p w14:paraId="1A77A288" w14:textId="77777777" w:rsidR="00920A23" w:rsidRDefault="00920A23" w:rsidP="00920A23">
      <w:pPr>
        <w:pStyle w:val="paragraph"/>
        <w:shd w:val="clear" w:color="auto" w:fill="FFFFFF"/>
        <w:spacing w:before="0" w:beforeAutospacing="0" w:after="0" w:afterAutospacing="0"/>
        <w:ind w:left="720"/>
        <w:contextualSpacing/>
        <w:jc w:val="both"/>
        <w:textAlignment w:val="baseline"/>
        <w:rPr>
          <w:rFonts w:ascii="Calibri Light" w:hAnsi="Calibri Light" w:cs="Calibri Light"/>
          <w:sz w:val="22"/>
          <w:szCs w:val="22"/>
        </w:rPr>
      </w:pPr>
    </w:p>
    <w:p w14:paraId="7AA3038F" w14:textId="77777777" w:rsidR="00920A23" w:rsidRDefault="00920A23" w:rsidP="00920A23">
      <w:pPr>
        <w:pStyle w:val="paragraph"/>
        <w:numPr>
          <w:ilvl w:val="3"/>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Understand how fund types and entities are used to segregate different types of SSF activities in Banner. </w:t>
      </w:r>
    </w:p>
    <w:p w14:paraId="5ACC8214" w14:textId="77777777" w:rsidR="00920A23" w:rsidRDefault="00920A23" w:rsidP="00920A23">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SSFs are assigned a fund type of 3E, 3J, 3M, or 3Q. The fund type assigned to a specific SSF can be found in Banner page </w:t>
      </w:r>
      <w:r>
        <w:rPr>
          <w:rFonts w:ascii="Calibri Light" w:hAnsi="Calibri Light" w:cs="Calibri Light"/>
          <w:b/>
          <w:bCs/>
          <w:sz w:val="22"/>
          <w:szCs w:val="22"/>
        </w:rPr>
        <w:t xml:space="preserve">FZMFUND </w:t>
      </w:r>
      <w:r>
        <w:rPr>
          <w:rFonts w:ascii="Calibri Light" w:hAnsi="Calibri Light" w:cs="Calibri Light"/>
          <w:sz w:val="22"/>
          <w:szCs w:val="22"/>
        </w:rPr>
        <w:t xml:space="preserve">or </w:t>
      </w:r>
      <w:r>
        <w:rPr>
          <w:rFonts w:ascii="Calibri Light" w:hAnsi="Calibri Light" w:cs="Calibri Light"/>
          <w:b/>
          <w:bCs/>
          <w:sz w:val="22"/>
          <w:szCs w:val="22"/>
        </w:rPr>
        <w:t>FTVFUND</w:t>
      </w:r>
      <w:r>
        <w:rPr>
          <w:rFonts w:ascii="Calibri Light" w:hAnsi="Calibri Light" w:cs="Calibri Light"/>
          <w:sz w:val="22"/>
          <w:szCs w:val="22"/>
        </w:rPr>
        <w:t xml:space="preserve">. See below for a summary of the self-supporting activity each fund type was designed to account for: </w:t>
      </w:r>
    </w:p>
    <w:p w14:paraId="72A7204A" w14:textId="77777777" w:rsidR="00920A23" w:rsidRDefault="00920A23" w:rsidP="00920A23">
      <w:pPr>
        <w:pStyle w:val="paragraph"/>
        <w:numPr>
          <w:ilvl w:val="5"/>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b/>
          <w:bCs/>
          <w:sz w:val="22"/>
          <w:szCs w:val="22"/>
        </w:rPr>
        <w:t>3E, Service and Storeroom Activities</w:t>
      </w:r>
      <w:r>
        <w:rPr>
          <w:rFonts w:ascii="Calibri Light" w:hAnsi="Calibri Light" w:cs="Calibri Light"/>
          <w:sz w:val="22"/>
          <w:szCs w:val="22"/>
        </w:rPr>
        <w:t xml:space="preserve">: Goods and/or services sold primarily to other university units and grant funds. </w:t>
      </w:r>
    </w:p>
    <w:p w14:paraId="108EADB9" w14:textId="77777777" w:rsidR="00920A23" w:rsidRDefault="00920A23" w:rsidP="00920A23">
      <w:pPr>
        <w:pStyle w:val="paragraph"/>
        <w:numPr>
          <w:ilvl w:val="5"/>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b/>
          <w:bCs/>
          <w:sz w:val="22"/>
          <w:szCs w:val="22"/>
        </w:rPr>
        <w:lastRenderedPageBreak/>
        <w:t>3J, Auxiliary Enterprises Not Under Indenture</w:t>
      </w:r>
      <w:r>
        <w:rPr>
          <w:rFonts w:ascii="Calibri Light" w:hAnsi="Calibri Light" w:cs="Calibri Light"/>
          <w:sz w:val="22"/>
          <w:szCs w:val="22"/>
        </w:rPr>
        <w:t xml:space="preserve">: Goods and/or services sold primarily to students, faculty, and/or staff of the University of Illinois System. This fund type would not include self-supporting activities that involve bond financing (see 3M). </w:t>
      </w:r>
    </w:p>
    <w:p w14:paraId="4CAB48FB" w14:textId="77777777" w:rsidR="00920A23" w:rsidRDefault="00920A23" w:rsidP="00920A23">
      <w:pPr>
        <w:pStyle w:val="paragraph"/>
        <w:numPr>
          <w:ilvl w:val="5"/>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b/>
          <w:bCs/>
          <w:sz w:val="22"/>
          <w:szCs w:val="22"/>
        </w:rPr>
        <w:t>3M, Auxiliary Enterprises Under Indenture</w:t>
      </w:r>
      <w:r>
        <w:rPr>
          <w:rFonts w:ascii="Calibri Light" w:hAnsi="Calibri Light" w:cs="Calibri Light"/>
          <w:sz w:val="22"/>
          <w:szCs w:val="22"/>
        </w:rPr>
        <w:t xml:space="preserve">: Goods and/or services sold primarily to students, faculty, and staff of the University of Illinois System when bond financing is involved in the self-supporting activities (such as housing operations, university bookstores, parking services, campus recreation, and student unions). </w:t>
      </w:r>
    </w:p>
    <w:p w14:paraId="621B968E" w14:textId="77777777" w:rsidR="00920A23" w:rsidRDefault="00920A23" w:rsidP="00920A23">
      <w:pPr>
        <w:pStyle w:val="paragraph"/>
        <w:numPr>
          <w:ilvl w:val="5"/>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b/>
          <w:bCs/>
          <w:sz w:val="22"/>
          <w:szCs w:val="22"/>
        </w:rPr>
        <w:t>3Q, Departmental Activities</w:t>
      </w:r>
      <w:r>
        <w:rPr>
          <w:rFonts w:ascii="Calibri Light" w:hAnsi="Calibri Light" w:cs="Calibri Light"/>
          <w:sz w:val="22"/>
          <w:szCs w:val="22"/>
        </w:rPr>
        <w:t xml:space="preserve">: Goods and/or services sold primarily to members of the </w:t>
      </w:r>
      <w:proofErr w:type="gramStart"/>
      <w:r>
        <w:rPr>
          <w:rFonts w:ascii="Calibri Light" w:hAnsi="Calibri Light" w:cs="Calibri Light"/>
          <w:sz w:val="22"/>
          <w:szCs w:val="22"/>
        </w:rPr>
        <w:t>general public</w:t>
      </w:r>
      <w:proofErr w:type="gramEnd"/>
      <w:r>
        <w:rPr>
          <w:rFonts w:ascii="Calibri Light" w:hAnsi="Calibri Light" w:cs="Calibri Light"/>
          <w:sz w:val="22"/>
          <w:szCs w:val="22"/>
        </w:rPr>
        <w:t xml:space="preserve"> and/or external entities. </w:t>
      </w:r>
    </w:p>
    <w:p w14:paraId="576BA977" w14:textId="77777777" w:rsidR="00920A23" w:rsidRDefault="00920A23" w:rsidP="00920A23">
      <w:pPr>
        <w:pStyle w:val="paragraph"/>
        <w:shd w:val="clear" w:color="auto" w:fill="FFFFFF"/>
        <w:spacing w:before="0" w:beforeAutospacing="0" w:after="0" w:afterAutospacing="0"/>
        <w:ind w:left="720"/>
        <w:contextualSpacing/>
        <w:jc w:val="both"/>
        <w:textAlignment w:val="baseline"/>
        <w:rPr>
          <w:rFonts w:ascii="Calibri Light" w:hAnsi="Calibri Light" w:cs="Calibri Light"/>
          <w:sz w:val="22"/>
          <w:szCs w:val="22"/>
        </w:rPr>
      </w:pPr>
    </w:p>
    <w:p w14:paraId="585118F0" w14:textId="77777777" w:rsidR="00920A23" w:rsidRDefault="00920A23" w:rsidP="00920A23">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Finally, within each fund type, there are different entity codes assigned to each SSF. Categorizing these self-supporting activities into fund types and entities allows the system to properly classify these self-supporting activities for financial reporting purposes. </w:t>
      </w:r>
    </w:p>
    <w:p w14:paraId="3A369FCE" w14:textId="77777777" w:rsidR="00920A23" w:rsidRDefault="00920A23" w:rsidP="00920A23">
      <w:pPr>
        <w:pStyle w:val="paragraph"/>
        <w:shd w:val="clear" w:color="auto" w:fill="FFFFFF"/>
        <w:spacing w:before="0" w:beforeAutospacing="0" w:after="0" w:afterAutospacing="0"/>
        <w:ind w:left="720"/>
        <w:contextualSpacing/>
        <w:jc w:val="both"/>
        <w:textAlignment w:val="baseline"/>
        <w:rPr>
          <w:rFonts w:ascii="Calibri Light" w:hAnsi="Calibri Light" w:cs="Calibri Light"/>
          <w:sz w:val="22"/>
          <w:szCs w:val="22"/>
        </w:rPr>
      </w:pPr>
    </w:p>
    <w:p w14:paraId="5C9D7BE6" w14:textId="77777777" w:rsidR="00920A23" w:rsidRDefault="00920A23" w:rsidP="00920A23">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These four-digit entity codes (which can typically be found in the </w:t>
      </w:r>
      <w:r>
        <w:rPr>
          <w:rFonts w:ascii="Calibri Light" w:hAnsi="Calibri Light" w:cs="Calibri Light"/>
          <w:i/>
          <w:iCs/>
          <w:sz w:val="22"/>
          <w:szCs w:val="22"/>
        </w:rPr>
        <w:t xml:space="preserve">Predecessor Fund </w:t>
      </w:r>
      <w:r>
        <w:rPr>
          <w:rFonts w:ascii="Calibri Light" w:hAnsi="Calibri Light" w:cs="Calibri Light"/>
          <w:sz w:val="22"/>
          <w:szCs w:val="22"/>
        </w:rPr>
        <w:t xml:space="preserve">field of Banner page </w:t>
      </w:r>
      <w:r>
        <w:rPr>
          <w:rFonts w:ascii="Calibri Light" w:hAnsi="Calibri Light" w:cs="Calibri Light"/>
          <w:b/>
          <w:bCs/>
          <w:sz w:val="22"/>
          <w:szCs w:val="22"/>
        </w:rPr>
        <w:t>FZMFUND</w:t>
      </w:r>
      <w:r>
        <w:rPr>
          <w:rFonts w:ascii="Calibri Light" w:hAnsi="Calibri Light" w:cs="Calibri Light"/>
          <w:sz w:val="22"/>
          <w:szCs w:val="22"/>
        </w:rPr>
        <w:t xml:space="preserve"> or within </w:t>
      </w:r>
      <w:r>
        <w:rPr>
          <w:rFonts w:ascii="Calibri Light" w:hAnsi="Calibri Light" w:cs="Calibri Light"/>
          <w:i/>
          <w:iCs/>
          <w:sz w:val="22"/>
          <w:szCs w:val="22"/>
        </w:rPr>
        <w:t>Level 3</w:t>
      </w:r>
      <w:r>
        <w:rPr>
          <w:rFonts w:ascii="Calibri Light" w:hAnsi="Calibri Light" w:cs="Calibri Light"/>
          <w:sz w:val="22"/>
          <w:szCs w:val="22"/>
        </w:rPr>
        <w:t xml:space="preserve"> of Banner page </w:t>
      </w:r>
      <w:r>
        <w:rPr>
          <w:rFonts w:ascii="Calibri Light" w:hAnsi="Calibri Light" w:cs="Calibri Light"/>
          <w:b/>
          <w:bCs/>
          <w:sz w:val="22"/>
          <w:szCs w:val="22"/>
        </w:rPr>
        <w:t>FGQFNDH</w:t>
      </w:r>
      <w:r>
        <w:rPr>
          <w:rFonts w:ascii="Calibri Light" w:hAnsi="Calibri Light" w:cs="Calibri Light"/>
          <w:sz w:val="22"/>
          <w:szCs w:val="22"/>
        </w:rPr>
        <w:t xml:space="preserve">) further classify the SSF into categories that best fit the nature and purpose of the SSF. See below for a brief description of each self-supporting entity code: </w:t>
      </w:r>
    </w:p>
    <w:p w14:paraId="20A70D22" w14:textId="77777777" w:rsidR="00920A23" w:rsidRDefault="00920A23" w:rsidP="00920A23">
      <w:pPr>
        <w:pStyle w:val="paragraph"/>
        <w:numPr>
          <w:ilvl w:val="5"/>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b/>
          <w:bCs/>
          <w:sz w:val="22"/>
          <w:szCs w:val="22"/>
        </w:rPr>
        <w:t>3100, Communication &amp; Computing Services</w:t>
      </w:r>
      <w:r>
        <w:rPr>
          <w:rFonts w:ascii="Calibri Light" w:hAnsi="Calibri Light" w:cs="Calibri Light"/>
          <w:sz w:val="22"/>
          <w:szCs w:val="22"/>
        </w:rPr>
        <w:t xml:space="preserve">: This entity code is only used with SSFs assigned with a </w:t>
      </w:r>
      <w:r>
        <w:rPr>
          <w:rFonts w:ascii="Calibri Light" w:hAnsi="Calibri Light" w:cs="Calibri Light"/>
          <w:b/>
          <w:bCs/>
          <w:sz w:val="22"/>
          <w:szCs w:val="22"/>
        </w:rPr>
        <w:t xml:space="preserve">3E </w:t>
      </w:r>
      <w:r>
        <w:rPr>
          <w:rFonts w:ascii="Calibri Light" w:hAnsi="Calibri Light" w:cs="Calibri Light"/>
          <w:sz w:val="22"/>
          <w:szCs w:val="22"/>
        </w:rPr>
        <w:t xml:space="preserve">fund type. It is used for activities that provide system- or university-wide services (primarily to university departments) for data processing, telecommunication, and computing services. </w:t>
      </w:r>
    </w:p>
    <w:p w14:paraId="43AF9E61" w14:textId="77777777" w:rsidR="00920A23" w:rsidRDefault="00920A23" w:rsidP="00920A23">
      <w:pPr>
        <w:pStyle w:val="paragraph"/>
        <w:numPr>
          <w:ilvl w:val="5"/>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b/>
          <w:bCs/>
          <w:sz w:val="22"/>
          <w:szCs w:val="22"/>
        </w:rPr>
        <w:t>3110, Plant &amp; Service Operations</w:t>
      </w:r>
      <w:r>
        <w:rPr>
          <w:rFonts w:ascii="Calibri Light" w:hAnsi="Calibri Light" w:cs="Calibri Light"/>
          <w:sz w:val="22"/>
          <w:szCs w:val="22"/>
        </w:rPr>
        <w:t xml:space="preserve">: This entity code is only used with SSFs assigned with a </w:t>
      </w:r>
      <w:r>
        <w:rPr>
          <w:rFonts w:ascii="Calibri Light" w:hAnsi="Calibri Light" w:cs="Calibri Light"/>
          <w:b/>
          <w:bCs/>
          <w:sz w:val="22"/>
          <w:szCs w:val="22"/>
        </w:rPr>
        <w:t xml:space="preserve">3E </w:t>
      </w:r>
      <w:r>
        <w:rPr>
          <w:rFonts w:ascii="Calibri Light" w:hAnsi="Calibri Light" w:cs="Calibri Light"/>
          <w:sz w:val="22"/>
          <w:szCs w:val="22"/>
        </w:rPr>
        <w:t xml:space="preserve">fund type. It is used for activities that provide services to internal operations on a system- or university-wide basis, including storeroom services, physical plant services, mail services, insurance services, printing services, copying services, and activities used for the collection and redistribution of costs. </w:t>
      </w:r>
    </w:p>
    <w:p w14:paraId="435BBE96" w14:textId="77777777" w:rsidR="00920A23" w:rsidRDefault="00920A23" w:rsidP="00920A23">
      <w:pPr>
        <w:pStyle w:val="paragraph"/>
        <w:numPr>
          <w:ilvl w:val="5"/>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b/>
          <w:bCs/>
          <w:sz w:val="22"/>
          <w:szCs w:val="22"/>
        </w:rPr>
        <w:t>3200, Student &amp; Staff Programs</w:t>
      </w:r>
      <w:r>
        <w:rPr>
          <w:rFonts w:ascii="Calibri Light" w:hAnsi="Calibri Light" w:cs="Calibri Light"/>
          <w:sz w:val="22"/>
          <w:szCs w:val="22"/>
        </w:rPr>
        <w:t xml:space="preserve">: This entity code is only used with SSFs assigned with a </w:t>
      </w:r>
      <w:r>
        <w:rPr>
          <w:rFonts w:ascii="Calibri Light" w:hAnsi="Calibri Light" w:cs="Calibri Light"/>
          <w:b/>
          <w:bCs/>
          <w:sz w:val="22"/>
          <w:szCs w:val="22"/>
        </w:rPr>
        <w:t xml:space="preserve">3J </w:t>
      </w:r>
      <w:r>
        <w:rPr>
          <w:rFonts w:ascii="Calibri Light" w:hAnsi="Calibri Light" w:cs="Calibri Light"/>
          <w:sz w:val="22"/>
          <w:szCs w:val="22"/>
        </w:rPr>
        <w:t>fund type. It is used for administration and operation of programs and services for students, faculty, and/or staff, including counseling, testing, student government activities, and international study abroad programs that are credit-bearing (excluding the related tuition revenue, which is recorded in the tuition fund).</w:t>
      </w:r>
    </w:p>
    <w:p w14:paraId="31AB680B" w14:textId="77777777" w:rsidR="00920A23" w:rsidRDefault="00920A23" w:rsidP="00920A23">
      <w:pPr>
        <w:pStyle w:val="paragraph"/>
        <w:numPr>
          <w:ilvl w:val="5"/>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b/>
          <w:bCs/>
          <w:sz w:val="22"/>
          <w:szCs w:val="22"/>
        </w:rPr>
        <w:t>3420, Unique Programs</w:t>
      </w:r>
      <w:r>
        <w:rPr>
          <w:rFonts w:ascii="Calibri Light" w:hAnsi="Calibri Light" w:cs="Calibri Light"/>
          <w:sz w:val="22"/>
          <w:szCs w:val="22"/>
        </w:rPr>
        <w:t xml:space="preserve">: This entity code is only used with SSFs assigned with a </w:t>
      </w:r>
      <w:r>
        <w:rPr>
          <w:rFonts w:ascii="Calibri Light" w:hAnsi="Calibri Light" w:cs="Calibri Light"/>
          <w:b/>
          <w:bCs/>
          <w:sz w:val="22"/>
          <w:szCs w:val="22"/>
        </w:rPr>
        <w:t>3J</w:t>
      </w:r>
      <w:r>
        <w:rPr>
          <w:rFonts w:ascii="Calibri Light" w:hAnsi="Calibri Light" w:cs="Calibri Light"/>
          <w:sz w:val="22"/>
          <w:szCs w:val="22"/>
        </w:rPr>
        <w:t xml:space="preserve"> fund type. It is used for unique student and staff programs such as non-credit bearing field trips (either domestic or abroad) or domestic field trips that are credit-bearing (excluding the related tuition revenue, which is recorded in the tuition fund).</w:t>
      </w:r>
    </w:p>
    <w:p w14:paraId="17C348E3" w14:textId="77777777" w:rsidR="00920A23" w:rsidRDefault="00920A23" w:rsidP="00920A23">
      <w:pPr>
        <w:pStyle w:val="paragraph"/>
        <w:numPr>
          <w:ilvl w:val="5"/>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b/>
          <w:bCs/>
          <w:sz w:val="22"/>
          <w:szCs w:val="22"/>
        </w:rPr>
        <w:t>3300, Housing &amp; Food Service</w:t>
      </w:r>
      <w:r>
        <w:rPr>
          <w:rFonts w:ascii="Calibri Light" w:hAnsi="Calibri Light" w:cs="Calibri Light"/>
          <w:sz w:val="22"/>
          <w:szCs w:val="22"/>
        </w:rPr>
        <w:t xml:space="preserve">: This entity code is only used with SSFs assigned with a </w:t>
      </w:r>
      <w:r>
        <w:rPr>
          <w:rFonts w:ascii="Calibri Light" w:hAnsi="Calibri Light" w:cs="Calibri Light"/>
          <w:b/>
          <w:bCs/>
          <w:sz w:val="22"/>
          <w:szCs w:val="22"/>
        </w:rPr>
        <w:t>3M</w:t>
      </w:r>
      <w:r>
        <w:rPr>
          <w:rFonts w:ascii="Calibri Light" w:hAnsi="Calibri Light" w:cs="Calibri Light"/>
          <w:sz w:val="22"/>
          <w:szCs w:val="22"/>
        </w:rPr>
        <w:t xml:space="preserve"> fund type. It is used for activities that provide housing and food services to students, faculty, and/or staff when those activities are provided from a unit that is part of the Auxiliary Facilities System (AFS). The AFS is comprised of system-owned housing units, student unions, and other similar auxiliary service units, such as parking, recreation, and athletic facilities. AFS units must abide by the provisions, terms, covenants, and conditions outlined in the AFS revenue bond covenants. </w:t>
      </w:r>
    </w:p>
    <w:p w14:paraId="39CFEC9B" w14:textId="77777777" w:rsidR="00920A23" w:rsidRDefault="00920A23" w:rsidP="00920A23">
      <w:pPr>
        <w:pStyle w:val="paragraph"/>
        <w:numPr>
          <w:ilvl w:val="5"/>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b/>
          <w:bCs/>
          <w:sz w:val="22"/>
          <w:szCs w:val="22"/>
        </w:rPr>
        <w:t>3310, Student Activity Facilities</w:t>
      </w:r>
      <w:r>
        <w:rPr>
          <w:rFonts w:ascii="Calibri Light" w:hAnsi="Calibri Light" w:cs="Calibri Light"/>
          <w:sz w:val="22"/>
          <w:szCs w:val="22"/>
        </w:rPr>
        <w:t xml:space="preserve">: This entity code is only used with SSFs assigned with a </w:t>
      </w:r>
      <w:r>
        <w:rPr>
          <w:rFonts w:ascii="Calibri Light" w:hAnsi="Calibri Light" w:cs="Calibri Light"/>
          <w:b/>
          <w:bCs/>
          <w:sz w:val="22"/>
          <w:szCs w:val="22"/>
        </w:rPr>
        <w:t>3M</w:t>
      </w:r>
      <w:r>
        <w:rPr>
          <w:rFonts w:ascii="Calibri Light" w:hAnsi="Calibri Light" w:cs="Calibri Light"/>
          <w:sz w:val="22"/>
          <w:szCs w:val="22"/>
        </w:rPr>
        <w:t xml:space="preserve"> fund type. It is used for activities provided to students, faculty, and/or staff within student activity facilities that are a part of the Auxiliary Facilities System (AFS). The AFS is comprised of system-owned housing units, student unions, and other similar auxiliary service units, such as parking, </w:t>
      </w:r>
      <w:r>
        <w:rPr>
          <w:rFonts w:ascii="Calibri Light" w:hAnsi="Calibri Light" w:cs="Calibri Light"/>
          <w:sz w:val="22"/>
          <w:szCs w:val="22"/>
        </w:rPr>
        <w:lastRenderedPageBreak/>
        <w:t xml:space="preserve">recreation, and athletic facilities. AFS units must abide by the provisions, terms, covenants, and conditions outlined in the AFS revenue bond covenants. </w:t>
      </w:r>
    </w:p>
    <w:p w14:paraId="78B4BC5D" w14:textId="77777777" w:rsidR="00920A23" w:rsidRDefault="00920A23" w:rsidP="00920A23">
      <w:pPr>
        <w:pStyle w:val="paragraph"/>
        <w:numPr>
          <w:ilvl w:val="5"/>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b/>
          <w:bCs/>
          <w:sz w:val="22"/>
          <w:szCs w:val="22"/>
        </w:rPr>
        <w:t>3320, Parking</w:t>
      </w:r>
      <w:r>
        <w:rPr>
          <w:rFonts w:ascii="Calibri Light" w:hAnsi="Calibri Light" w:cs="Calibri Light"/>
          <w:sz w:val="22"/>
          <w:szCs w:val="22"/>
        </w:rPr>
        <w:t xml:space="preserve">: This entity code is only used with SSFs assigned with a </w:t>
      </w:r>
      <w:r>
        <w:rPr>
          <w:rFonts w:ascii="Calibri Light" w:hAnsi="Calibri Light" w:cs="Calibri Light"/>
          <w:b/>
          <w:bCs/>
          <w:sz w:val="22"/>
          <w:szCs w:val="22"/>
        </w:rPr>
        <w:t>3M</w:t>
      </w:r>
      <w:r>
        <w:rPr>
          <w:rFonts w:ascii="Calibri Light" w:hAnsi="Calibri Light" w:cs="Calibri Light"/>
          <w:sz w:val="22"/>
          <w:szCs w:val="22"/>
        </w:rPr>
        <w:t xml:space="preserve"> fund type. It is used for activities that provide parking services to students, faculty, and/or staff when those activities are provided from a unit that is part of the Auxiliary Facilities System (AFS). The AFS is comprised of system-owned housing units, student unions, and other similar auxiliary service units, such as parking, recreation, and athletic facilities. AFS units must abide by the provisions, terms, covenants, and conditions outlined in the AFS revenue bond covenants. </w:t>
      </w:r>
      <w:bookmarkStart w:id="3" w:name="_Hlk157779232"/>
    </w:p>
    <w:bookmarkEnd w:id="3"/>
    <w:p w14:paraId="48AB359E" w14:textId="77777777" w:rsidR="00920A23" w:rsidRDefault="00920A23" w:rsidP="00920A23">
      <w:pPr>
        <w:pStyle w:val="paragraph"/>
        <w:numPr>
          <w:ilvl w:val="5"/>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b/>
          <w:bCs/>
          <w:sz w:val="22"/>
          <w:szCs w:val="22"/>
        </w:rPr>
        <w:t>3400, Instructional Course Activities</w:t>
      </w:r>
      <w:r>
        <w:rPr>
          <w:rFonts w:ascii="Calibri Light" w:hAnsi="Calibri Light" w:cs="Calibri Light"/>
          <w:sz w:val="22"/>
          <w:szCs w:val="22"/>
        </w:rPr>
        <w:t xml:space="preserve">: This entity code is only used with SSFs assigned with a </w:t>
      </w:r>
      <w:r>
        <w:rPr>
          <w:rFonts w:ascii="Calibri Light" w:hAnsi="Calibri Light" w:cs="Calibri Light"/>
          <w:b/>
          <w:bCs/>
          <w:sz w:val="22"/>
          <w:szCs w:val="22"/>
        </w:rPr>
        <w:t>3Q</w:t>
      </w:r>
      <w:r>
        <w:rPr>
          <w:rFonts w:ascii="Calibri Light" w:hAnsi="Calibri Light" w:cs="Calibri Light"/>
          <w:sz w:val="22"/>
          <w:szCs w:val="22"/>
        </w:rPr>
        <w:t xml:space="preserve"> fund type. It is used for credit-bearing instructional activities provided primarily as a public service to private businesses, community organizations, and governmental units. </w:t>
      </w:r>
    </w:p>
    <w:p w14:paraId="6B34D5B9" w14:textId="77777777" w:rsidR="00920A23" w:rsidRDefault="00920A23" w:rsidP="00920A23">
      <w:pPr>
        <w:pStyle w:val="paragraph"/>
        <w:numPr>
          <w:ilvl w:val="5"/>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b/>
          <w:bCs/>
          <w:sz w:val="22"/>
          <w:szCs w:val="22"/>
        </w:rPr>
        <w:t>3410, Professional Development Activities</w:t>
      </w:r>
      <w:r>
        <w:rPr>
          <w:rFonts w:ascii="Calibri Light" w:hAnsi="Calibri Light" w:cs="Calibri Light"/>
          <w:sz w:val="22"/>
          <w:szCs w:val="22"/>
        </w:rPr>
        <w:t xml:space="preserve">: This entity code is only used with SSFs assigned with a </w:t>
      </w:r>
      <w:r>
        <w:rPr>
          <w:rFonts w:ascii="Calibri Light" w:hAnsi="Calibri Light" w:cs="Calibri Light"/>
          <w:b/>
          <w:bCs/>
          <w:sz w:val="22"/>
          <w:szCs w:val="22"/>
        </w:rPr>
        <w:t>3Q</w:t>
      </w:r>
      <w:r>
        <w:rPr>
          <w:rFonts w:ascii="Calibri Light" w:hAnsi="Calibri Light" w:cs="Calibri Light"/>
          <w:sz w:val="22"/>
          <w:szCs w:val="22"/>
        </w:rPr>
        <w:t xml:space="preserve"> fund type. It is used for non-credit bearing instructional activities provided primarily as a public service to individuals, private businesses, community organizations, and governmental units such as conferences, workshops, seminars, and continuing education. These services are usually provided as a part of the system’s instructional and public service mission. </w:t>
      </w:r>
    </w:p>
    <w:p w14:paraId="64F8068D" w14:textId="77777777" w:rsidR="00920A23" w:rsidRDefault="00920A23" w:rsidP="00920A23">
      <w:pPr>
        <w:pStyle w:val="paragraph"/>
        <w:numPr>
          <w:ilvl w:val="5"/>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b/>
          <w:bCs/>
          <w:sz w:val="22"/>
          <w:szCs w:val="22"/>
        </w:rPr>
        <w:t>3430, Agricultural Operations</w:t>
      </w:r>
      <w:r>
        <w:rPr>
          <w:rFonts w:ascii="Calibri Light" w:hAnsi="Calibri Light" w:cs="Calibri Light"/>
          <w:sz w:val="22"/>
          <w:szCs w:val="22"/>
        </w:rPr>
        <w:t xml:space="preserve">: This entity code is only used with SSFs assigned with a </w:t>
      </w:r>
      <w:r>
        <w:rPr>
          <w:rFonts w:ascii="Calibri Light" w:hAnsi="Calibri Light" w:cs="Calibri Light"/>
          <w:b/>
          <w:bCs/>
          <w:sz w:val="22"/>
          <w:szCs w:val="22"/>
        </w:rPr>
        <w:t>3Q</w:t>
      </w:r>
      <w:r>
        <w:rPr>
          <w:rFonts w:ascii="Calibri Light" w:hAnsi="Calibri Light" w:cs="Calibri Light"/>
          <w:sz w:val="22"/>
          <w:szCs w:val="22"/>
        </w:rPr>
        <w:t xml:space="preserve"> fund type. It is used for agricultural activities that provide direct support of the instructional, research, and public service missions of the system as administered by the University of Illinois Urbana-Champaign College of Agricultural, Consumer, and Environmental Sciences (ACES). Activities that pertain to academic and theoretical research are recorded in other entities as appropriate. </w:t>
      </w:r>
    </w:p>
    <w:p w14:paraId="1A20423D" w14:textId="77777777" w:rsidR="00920A23" w:rsidRDefault="00920A23" w:rsidP="00920A23">
      <w:pPr>
        <w:pStyle w:val="paragraph"/>
        <w:numPr>
          <w:ilvl w:val="5"/>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b/>
          <w:bCs/>
          <w:sz w:val="22"/>
          <w:szCs w:val="22"/>
        </w:rPr>
        <w:t>3440, Public Service, Academic Support, Healthcare, and Economic Development Activities</w:t>
      </w:r>
      <w:r>
        <w:rPr>
          <w:rFonts w:ascii="Calibri Light" w:hAnsi="Calibri Light" w:cs="Calibri Light"/>
          <w:sz w:val="22"/>
          <w:szCs w:val="22"/>
        </w:rPr>
        <w:t xml:space="preserve">: This entity code is only used with SSFs assigned with a </w:t>
      </w:r>
      <w:r>
        <w:rPr>
          <w:rFonts w:ascii="Calibri Light" w:hAnsi="Calibri Light" w:cs="Calibri Light"/>
          <w:b/>
          <w:bCs/>
          <w:sz w:val="22"/>
          <w:szCs w:val="22"/>
        </w:rPr>
        <w:t>3Q</w:t>
      </w:r>
      <w:r>
        <w:rPr>
          <w:rFonts w:ascii="Calibri Light" w:hAnsi="Calibri Light" w:cs="Calibri Light"/>
          <w:sz w:val="22"/>
          <w:szCs w:val="22"/>
        </w:rPr>
        <w:t xml:space="preserve"> fund type. It is used for activities that provide direct support of the primary academic, public service, healthcare, and economic development missions of the system. Examples include (but are not limited to) activities such as technical testing services, consulting services, laboratory and testing services, publication and design services, technology incubation and economic development services, and facilities that are in direct support of the instructional, research, public </w:t>
      </w:r>
      <w:proofErr w:type="gramStart"/>
      <w:r>
        <w:rPr>
          <w:rFonts w:ascii="Calibri Light" w:hAnsi="Calibri Light" w:cs="Calibri Light"/>
          <w:sz w:val="22"/>
          <w:szCs w:val="22"/>
        </w:rPr>
        <w:t>service</w:t>
      </w:r>
      <w:proofErr w:type="gramEnd"/>
      <w:r>
        <w:rPr>
          <w:rFonts w:ascii="Calibri Light" w:hAnsi="Calibri Light" w:cs="Calibri Light"/>
          <w:sz w:val="22"/>
          <w:szCs w:val="22"/>
        </w:rPr>
        <w:t xml:space="preserve"> and economic development functions of the system. </w:t>
      </w:r>
    </w:p>
    <w:p w14:paraId="6299F107" w14:textId="77777777" w:rsidR="00920A23" w:rsidRDefault="00920A23" w:rsidP="00920A23">
      <w:pPr>
        <w:pStyle w:val="paragraph"/>
        <w:numPr>
          <w:ilvl w:val="5"/>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b/>
          <w:bCs/>
          <w:sz w:val="22"/>
          <w:szCs w:val="22"/>
        </w:rPr>
        <w:t>3450, Intercollegiate Athletics</w:t>
      </w:r>
      <w:r>
        <w:rPr>
          <w:rFonts w:ascii="Calibri Light" w:hAnsi="Calibri Light" w:cs="Calibri Light"/>
          <w:sz w:val="22"/>
          <w:szCs w:val="22"/>
        </w:rPr>
        <w:t xml:space="preserve">: This entity code is only used with SSFs assigned with a </w:t>
      </w:r>
      <w:r>
        <w:rPr>
          <w:rFonts w:ascii="Calibri Light" w:hAnsi="Calibri Light" w:cs="Calibri Light"/>
          <w:b/>
          <w:bCs/>
          <w:sz w:val="22"/>
          <w:szCs w:val="22"/>
        </w:rPr>
        <w:t>3Q</w:t>
      </w:r>
      <w:r>
        <w:rPr>
          <w:rFonts w:ascii="Calibri Light" w:hAnsi="Calibri Light" w:cs="Calibri Light"/>
          <w:sz w:val="22"/>
          <w:szCs w:val="22"/>
        </w:rPr>
        <w:t xml:space="preserve"> fund type. It is used for the administration and operation of intercollegiate athletic activities and programs. Examples include (but are not limited to) summer camps, golf courses, tennis centers, and various athletic programs. </w:t>
      </w:r>
    </w:p>
    <w:p w14:paraId="46C095B3" w14:textId="77777777" w:rsidR="00920A23" w:rsidRDefault="00920A23" w:rsidP="00920A23">
      <w:pPr>
        <w:pStyle w:val="paragraph"/>
        <w:numPr>
          <w:ilvl w:val="5"/>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b/>
          <w:bCs/>
          <w:sz w:val="22"/>
          <w:szCs w:val="22"/>
        </w:rPr>
        <w:t>3500: Hospitals and Clinics</w:t>
      </w:r>
      <w:r>
        <w:rPr>
          <w:rFonts w:ascii="Calibri Light" w:hAnsi="Calibri Light" w:cs="Calibri Light"/>
          <w:sz w:val="22"/>
          <w:szCs w:val="22"/>
        </w:rPr>
        <w:t xml:space="preserve">: This entity code is only used with SSFs assigned with a </w:t>
      </w:r>
      <w:r>
        <w:rPr>
          <w:rFonts w:ascii="Calibri Light" w:hAnsi="Calibri Light" w:cs="Calibri Light"/>
          <w:b/>
          <w:bCs/>
          <w:sz w:val="22"/>
          <w:szCs w:val="22"/>
        </w:rPr>
        <w:t>3Q</w:t>
      </w:r>
      <w:r>
        <w:rPr>
          <w:rFonts w:ascii="Calibri Light" w:hAnsi="Calibri Light" w:cs="Calibri Light"/>
          <w:sz w:val="22"/>
          <w:szCs w:val="22"/>
        </w:rPr>
        <w:t xml:space="preserve"> fund type. It is used for the administration and operation of patient care facilities, primarily the University of Illinois Hospital and Clinics, which are in direct support of the instructional, research, and public service missions of the University of Illinois System. </w:t>
      </w:r>
    </w:p>
    <w:p w14:paraId="653BCD0A" w14:textId="77777777" w:rsidR="00920A23" w:rsidRDefault="00920A23" w:rsidP="00920A23">
      <w:pPr>
        <w:pStyle w:val="paragraph"/>
        <w:numPr>
          <w:ilvl w:val="5"/>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b/>
          <w:bCs/>
          <w:sz w:val="22"/>
          <w:szCs w:val="22"/>
        </w:rPr>
        <w:t>3600, Commercial Operations Not Under Indenture</w:t>
      </w:r>
      <w:r>
        <w:rPr>
          <w:rFonts w:ascii="Calibri Light" w:hAnsi="Calibri Light" w:cs="Calibri Light"/>
          <w:sz w:val="22"/>
          <w:szCs w:val="22"/>
        </w:rPr>
        <w:t xml:space="preserve">: This entity code is only used with SSFs funds assigned with a </w:t>
      </w:r>
      <w:r>
        <w:rPr>
          <w:rFonts w:ascii="Calibri Light" w:hAnsi="Calibri Light" w:cs="Calibri Light"/>
          <w:b/>
          <w:bCs/>
          <w:sz w:val="22"/>
          <w:szCs w:val="22"/>
        </w:rPr>
        <w:t>3Q</w:t>
      </w:r>
      <w:r>
        <w:rPr>
          <w:rFonts w:ascii="Calibri Light" w:hAnsi="Calibri Light" w:cs="Calibri Light"/>
          <w:sz w:val="22"/>
          <w:szCs w:val="22"/>
        </w:rPr>
        <w:t xml:space="preserve"> fund type. It is used for activities that provide services from facilities that are not under indenture, and that have a significant emphasis on users outside the university community</w:t>
      </w:r>
      <w:r>
        <w:rPr>
          <w:rFonts w:ascii="Calibri Light" w:hAnsi="Calibri Light" w:cs="Calibri Light"/>
          <w:color w:val="FF0000"/>
          <w:sz w:val="22"/>
          <w:szCs w:val="22"/>
        </w:rPr>
        <w:t xml:space="preserve">. </w:t>
      </w:r>
      <w:r>
        <w:rPr>
          <w:rFonts w:ascii="Calibri Light" w:hAnsi="Calibri Light" w:cs="Calibri Light"/>
          <w:sz w:val="22"/>
          <w:szCs w:val="22"/>
        </w:rPr>
        <w:t xml:space="preserve">Examples include services from steam plan operations, the technical research park, and airport operations. </w:t>
      </w:r>
    </w:p>
    <w:p w14:paraId="4235F0BE" w14:textId="77777777" w:rsidR="00920A23" w:rsidRDefault="00920A23" w:rsidP="00920A23">
      <w:pPr>
        <w:pStyle w:val="paragraph"/>
        <w:shd w:val="clear" w:color="auto" w:fill="FFFFFF"/>
        <w:spacing w:before="0" w:beforeAutospacing="0" w:after="0" w:afterAutospacing="0"/>
        <w:contextualSpacing/>
        <w:jc w:val="both"/>
        <w:textAlignment w:val="baseline"/>
        <w:rPr>
          <w:rFonts w:ascii="Calibri Light" w:hAnsi="Calibri Light" w:cs="Calibri Light"/>
          <w:sz w:val="22"/>
          <w:szCs w:val="22"/>
        </w:rPr>
      </w:pPr>
    </w:p>
    <w:p w14:paraId="2A618962" w14:textId="77777777" w:rsidR="00920A23" w:rsidRDefault="00920A23" w:rsidP="00920A23">
      <w:pPr>
        <w:pStyle w:val="paragraph"/>
        <w:numPr>
          <w:ilvl w:val="3"/>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Ensure that SSF activities use an accrual basis of accounting for year-end close. </w:t>
      </w:r>
    </w:p>
    <w:p w14:paraId="7AE03EB4" w14:textId="77777777" w:rsidR="00920A23" w:rsidRDefault="00920A23" w:rsidP="00920A23">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While most SSFs operate on a cash basis throughout the fiscal year, the activities within these SSFs must be accounted for on an accrual basis at the end of the fiscal year to ensure compliance with financial reporting requirements. </w:t>
      </w:r>
    </w:p>
    <w:p w14:paraId="07D271E3" w14:textId="77777777" w:rsidR="00920A23" w:rsidRDefault="00920A23" w:rsidP="00920A23">
      <w:pPr>
        <w:pStyle w:val="ListParagraph"/>
        <w:numPr>
          <w:ilvl w:val="4"/>
          <w:numId w:val="2"/>
        </w:numPr>
        <w:spacing w:after="0" w:line="240" w:lineRule="auto"/>
        <w:jc w:val="both"/>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lastRenderedPageBreak/>
        <w:t xml:space="preserve">This means that any accounts receivable, inventory for resale, prepaid expenses, accounts payable, and/or unearned revenue must be properly accounted for within Banner at fiscal year-end. </w:t>
      </w:r>
    </w:p>
    <w:p w14:paraId="2F67B38F" w14:textId="77777777" w:rsidR="00920A23" w:rsidRDefault="00920A23" w:rsidP="00920A23">
      <w:pPr>
        <w:pStyle w:val="ListParagraph"/>
        <w:numPr>
          <w:ilvl w:val="4"/>
          <w:numId w:val="2"/>
        </w:numPr>
        <w:spacing w:after="0" w:line="240" w:lineRule="auto"/>
        <w:jc w:val="both"/>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The most efficient and effective way of making these accrual adjustments at year-end is to use the </w:t>
      </w:r>
      <w:hyperlink r:id="rId9" w:history="1">
        <w:r>
          <w:rPr>
            <w:rStyle w:val="Hyperlink"/>
            <w:rFonts w:ascii="Calibri Light" w:eastAsia="Times New Roman" w:hAnsi="Calibri Light" w:cs="Calibri Light"/>
            <w:kern w:val="0"/>
            <w14:ligatures w14:val="none"/>
          </w:rPr>
          <w:t>Year-End Fact Sheet</w:t>
        </w:r>
      </w:hyperlink>
      <w:r>
        <w:rPr>
          <w:rFonts w:ascii="Calibri Light" w:eastAsia="Times New Roman" w:hAnsi="Calibri Light" w:cs="Calibri Light"/>
          <w:kern w:val="0"/>
          <w14:ligatures w14:val="none"/>
        </w:rPr>
        <w:t xml:space="preserve"> to report these adjustments, accruals, and deferrals to UAFR during July of the fiscal year-end close each year. See </w:t>
      </w:r>
      <w:hyperlink r:id="rId10" w:history="1">
        <w:r>
          <w:rPr>
            <w:rStyle w:val="Hyperlink"/>
            <w:rFonts w:ascii="Calibri Light" w:eastAsia="Times New Roman" w:hAnsi="Calibri Light" w:cs="Calibri Light"/>
            <w:kern w:val="0"/>
            <w14:ligatures w14:val="none"/>
          </w:rPr>
          <w:t>Year-End Fact Sheet</w:t>
        </w:r>
      </w:hyperlink>
      <w:r>
        <w:rPr>
          <w:rFonts w:ascii="Calibri Light" w:eastAsia="Times New Roman" w:hAnsi="Calibri Light" w:cs="Calibri Light"/>
          <w:kern w:val="0"/>
          <w14:ligatures w14:val="none"/>
        </w:rPr>
        <w:t xml:space="preserve"> for further details on this important process. </w:t>
      </w:r>
    </w:p>
    <w:p w14:paraId="3860413A" w14:textId="77777777" w:rsidR="00920A23" w:rsidRDefault="00920A23" w:rsidP="00920A23">
      <w:pPr>
        <w:pStyle w:val="ListParagraph"/>
        <w:numPr>
          <w:ilvl w:val="4"/>
          <w:numId w:val="2"/>
        </w:numPr>
        <w:spacing w:after="0" w:line="240" w:lineRule="auto"/>
        <w:jc w:val="both"/>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In addition, regarding accounts receivable, keep in mind that policy requires the use of the Banner AR system for managing the accounts receivable activity, unless an approved exemption is granted. For further details on this process, refer to </w:t>
      </w:r>
      <w:hyperlink r:id="rId11" w:history="1">
        <w:r>
          <w:rPr>
            <w:rStyle w:val="Hyperlink"/>
            <w:rFonts w:ascii="Calibri Light" w:eastAsia="Times New Roman" w:hAnsi="Calibri Light" w:cs="Calibri Light"/>
            <w:kern w:val="0"/>
            <w14:ligatures w14:val="none"/>
          </w:rPr>
          <w:t>5 Receivables</w:t>
        </w:r>
      </w:hyperlink>
      <w:r>
        <w:rPr>
          <w:rFonts w:ascii="Calibri Light" w:eastAsia="Times New Roman" w:hAnsi="Calibri Light" w:cs="Calibri Light"/>
          <w:kern w:val="0"/>
          <w14:ligatures w14:val="none"/>
        </w:rPr>
        <w:t>.</w:t>
      </w:r>
    </w:p>
    <w:p w14:paraId="5FB32476" w14:textId="77777777" w:rsidR="00920A23" w:rsidRDefault="00920A23" w:rsidP="00920A23">
      <w:pPr>
        <w:pStyle w:val="ListParagraph"/>
        <w:spacing w:after="0" w:line="240" w:lineRule="auto"/>
        <w:jc w:val="both"/>
        <w:rPr>
          <w:rFonts w:ascii="Calibri Light" w:eastAsia="Times New Roman" w:hAnsi="Calibri Light" w:cs="Calibri Light"/>
          <w:kern w:val="0"/>
          <w14:ligatures w14:val="none"/>
        </w:rPr>
      </w:pPr>
    </w:p>
    <w:p w14:paraId="768AAD43" w14:textId="77777777" w:rsidR="00920A23" w:rsidRDefault="00920A23" w:rsidP="00920A23">
      <w:pPr>
        <w:pStyle w:val="paragraph"/>
        <w:numPr>
          <w:ilvl w:val="3"/>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Understand how to locate the available fund balance for SSFs in Banner.</w:t>
      </w:r>
    </w:p>
    <w:p w14:paraId="4125E0D8" w14:textId="77777777" w:rsidR="00920A23" w:rsidRDefault="00920A23" w:rsidP="00920A23">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To find the fund balance for a SSF, units will need to examine the general ledger. To do this, go to Banner page </w:t>
      </w:r>
      <w:r>
        <w:rPr>
          <w:rFonts w:ascii="Calibri Light" w:hAnsi="Calibri Light" w:cs="Calibri Light"/>
          <w:b/>
          <w:bCs/>
          <w:sz w:val="22"/>
          <w:szCs w:val="22"/>
        </w:rPr>
        <w:t xml:space="preserve">FGITBSR </w:t>
      </w:r>
      <w:r>
        <w:rPr>
          <w:rFonts w:ascii="Calibri Light" w:hAnsi="Calibri Light" w:cs="Calibri Light"/>
          <w:sz w:val="22"/>
          <w:szCs w:val="22"/>
        </w:rPr>
        <w:t xml:space="preserve">and enter the applicable chart and fund code, then click the </w:t>
      </w:r>
      <w:r>
        <w:rPr>
          <w:rFonts w:ascii="Calibri Light" w:hAnsi="Calibri Light" w:cs="Calibri Light"/>
          <w:i/>
          <w:iCs/>
          <w:sz w:val="22"/>
          <w:szCs w:val="22"/>
        </w:rPr>
        <w:t>Go</w:t>
      </w:r>
      <w:r>
        <w:rPr>
          <w:rFonts w:ascii="Calibri Light" w:hAnsi="Calibri Light" w:cs="Calibri Light"/>
          <w:sz w:val="22"/>
          <w:szCs w:val="22"/>
        </w:rPr>
        <w:t xml:space="preserve"> button in the upper right-hand corner of the page. </w:t>
      </w:r>
    </w:p>
    <w:p w14:paraId="652FA1E6" w14:textId="77777777" w:rsidR="00920A23" w:rsidRDefault="00920A23" w:rsidP="00920A23">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The available fund balance will then appear in the lower right-hand corner of the page, on the </w:t>
      </w:r>
      <w:r>
        <w:rPr>
          <w:rFonts w:ascii="Calibri Light" w:hAnsi="Calibri Light" w:cs="Calibri Light"/>
          <w:i/>
          <w:iCs/>
          <w:sz w:val="22"/>
          <w:szCs w:val="22"/>
        </w:rPr>
        <w:t>Current Fund Balance</w:t>
      </w:r>
      <w:r>
        <w:rPr>
          <w:rFonts w:ascii="Calibri Light" w:hAnsi="Calibri Light" w:cs="Calibri Light"/>
          <w:sz w:val="22"/>
          <w:szCs w:val="22"/>
        </w:rPr>
        <w:t xml:space="preserve"> row of the </w:t>
      </w:r>
      <w:r>
        <w:rPr>
          <w:rFonts w:ascii="Calibri Light" w:hAnsi="Calibri Light" w:cs="Calibri Light"/>
          <w:i/>
          <w:iCs/>
          <w:sz w:val="22"/>
          <w:szCs w:val="22"/>
        </w:rPr>
        <w:t>Current Balance</w:t>
      </w:r>
      <w:r>
        <w:rPr>
          <w:rFonts w:ascii="Calibri Light" w:hAnsi="Calibri Light" w:cs="Calibri Light"/>
          <w:sz w:val="22"/>
          <w:szCs w:val="22"/>
        </w:rPr>
        <w:t xml:space="preserve"> column, while the available cash balance will appear in the </w:t>
      </w:r>
      <w:r>
        <w:rPr>
          <w:rFonts w:ascii="Calibri Light" w:hAnsi="Calibri Light" w:cs="Calibri Light"/>
          <w:i/>
          <w:iCs/>
          <w:sz w:val="22"/>
          <w:szCs w:val="22"/>
        </w:rPr>
        <w:t>Claim on Cash</w:t>
      </w:r>
      <w:r>
        <w:rPr>
          <w:rFonts w:ascii="Calibri Light" w:hAnsi="Calibri Light" w:cs="Calibri Light"/>
          <w:sz w:val="22"/>
          <w:szCs w:val="22"/>
        </w:rPr>
        <w:t xml:space="preserve"> row. </w:t>
      </w:r>
    </w:p>
    <w:p w14:paraId="6F62CFD1" w14:textId="77777777" w:rsidR="00920A23" w:rsidRDefault="00920A23" w:rsidP="00920A23">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For further details, see </w:t>
      </w:r>
      <w:hyperlink r:id="rId12" w:history="1">
        <w:r>
          <w:rPr>
            <w:rStyle w:val="Hyperlink"/>
            <w:rFonts w:ascii="Calibri Light" w:eastAsiaTheme="majorEastAsia" w:hAnsi="Calibri Light" w:cs="Calibri Light"/>
            <w:sz w:val="22"/>
            <w:szCs w:val="22"/>
          </w:rPr>
          <w:t>Finding Your C-FOP Balance</w:t>
        </w:r>
      </w:hyperlink>
      <w:r>
        <w:rPr>
          <w:rFonts w:ascii="Calibri Light" w:hAnsi="Calibri Light" w:cs="Calibri Light"/>
          <w:sz w:val="22"/>
          <w:szCs w:val="22"/>
        </w:rPr>
        <w:t>.</w:t>
      </w:r>
    </w:p>
    <w:p w14:paraId="3CCB67E8" w14:textId="77777777" w:rsidR="00920A23" w:rsidRDefault="00920A23" w:rsidP="00920A23">
      <w:pPr>
        <w:pStyle w:val="paragraph"/>
        <w:shd w:val="clear" w:color="auto" w:fill="FFFFFF"/>
        <w:spacing w:before="0" w:beforeAutospacing="0" w:after="0" w:afterAutospacing="0"/>
        <w:ind w:left="360"/>
        <w:contextualSpacing/>
        <w:jc w:val="both"/>
        <w:textAlignment w:val="baseline"/>
        <w:rPr>
          <w:rFonts w:ascii="Calibri Light" w:hAnsi="Calibri Light" w:cs="Calibri Light"/>
          <w:sz w:val="22"/>
          <w:szCs w:val="22"/>
        </w:rPr>
      </w:pPr>
    </w:p>
    <w:p w14:paraId="625E072C" w14:textId="77777777" w:rsidR="00920A23" w:rsidRDefault="00920A23" w:rsidP="00920A23">
      <w:pPr>
        <w:pStyle w:val="paragraph"/>
        <w:numPr>
          <w:ilvl w:val="3"/>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Ensure SSFs are used for appropriate types of transactions. </w:t>
      </w:r>
    </w:p>
    <w:p w14:paraId="4C45FF4C" w14:textId="77777777" w:rsidR="00920A23" w:rsidRDefault="00920A23" w:rsidP="00920A23">
      <w:pPr>
        <w:pStyle w:val="paragraph"/>
        <w:numPr>
          <w:ilvl w:val="4"/>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Any expenses posting to SSFs must be related to supporting the revenue generation within the SSF. In other words, there must be a way to explain how each expense within the SSF is tied to supporting the fund’s revenue generation.</w:t>
      </w:r>
    </w:p>
    <w:p w14:paraId="345FD80F" w14:textId="77777777" w:rsidR="00920A23" w:rsidRDefault="00920A23" w:rsidP="00920A23">
      <w:pPr>
        <w:pStyle w:val="ListParagraph"/>
        <w:numPr>
          <w:ilvl w:val="5"/>
          <w:numId w:val="2"/>
        </w:numPr>
        <w:spacing w:after="0" w:line="240" w:lineRule="auto"/>
        <w:jc w:val="both"/>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For example, if a </w:t>
      </w:r>
      <w:r>
        <w:rPr>
          <w:rFonts w:ascii="Calibri Light" w:hAnsi="Calibri Light" w:cs="Calibri Light"/>
        </w:rPr>
        <w:t>SSF</w:t>
      </w:r>
      <w:r>
        <w:rPr>
          <w:rFonts w:ascii="Calibri Light" w:eastAsia="Times New Roman" w:hAnsi="Calibri Light" w:cs="Calibri Light"/>
          <w:kern w:val="0"/>
          <w14:ligatures w14:val="none"/>
        </w:rPr>
        <w:t xml:space="preserve"> was established to account for an upcoming conference, then all expenses posting to that fund should have some relation to the planning and operations of the conference itself (such as catering expenses, personnel expenses for employees working at the conference, printing expenses for conference materials, etc.) </w:t>
      </w:r>
    </w:p>
    <w:p w14:paraId="5BF07BEF" w14:textId="77777777" w:rsidR="00920A23" w:rsidRDefault="00920A23" w:rsidP="00920A23">
      <w:pPr>
        <w:pStyle w:val="ListParagraph"/>
        <w:spacing w:after="0" w:line="240" w:lineRule="auto"/>
        <w:jc w:val="both"/>
        <w:rPr>
          <w:rFonts w:ascii="Calibri Light" w:eastAsia="Times New Roman" w:hAnsi="Calibri Light" w:cs="Calibri Light"/>
          <w:kern w:val="0"/>
          <w14:ligatures w14:val="none"/>
        </w:rPr>
      </w:pPr>
    </w:p>
    <w:p w14:paraId="33CF5A6A" w14:textId="77777777" w:rsidR="00920A23" w:rsidRDefault="00920A23" w:rsidP="00920A23">
      <w:pPr>
        <w:pStyle w:val="ListParagraph"/>
        <w:numPr>
          <w:ilvl w:val="4"/>
          <w:numId w:val="2"/>
        </w:numPr>
        <w:spacing w:after="0" w:line="240" w:lineRule="auto"/>
        <w:jc w:val="both"/>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Also, it is important to ensure that the revenue-generating activity is actually allowable to record within </w:t>
      </w:r>
      <w:proofErr w:type="gramStart"/>
      <w:r>
        <w:rPr>
          <w:rFonts w:ascii="Calibri Light" w:eastAsia="Times New Roman" w:hAnsi="Calibri Light" w:cs="Calibri Light"/>
          <w:kern w:val="0"/>
          <w14:ligatures w14:val="none"/>
        </w:rPr>
        <w:t>a</w:t>
      </w:r>
      <w:proofErr w:type="gramEnd"/>
      <w:r>
        <w:rPr>
          <w:rFonts w:ascii="Calibri Light" w:eastAsia="Times New Roman" w:hAnsi="Calibri Light" w:cs="Calibri Light"/>
          <w:kern w:val="0"/>
          <w14:ligatures w14:val="none"/>
        </w:rPr>
        <w:t xml:space="preserve"> SSF. There are many intricacies to consider when determining what type of fund to use to account for revenue-generating activities, and sometimes the revenue should be recorded in a different type of fund. For example, revenue generated from Medical Service Plan activities should be recorded in a medical service plan fund (not </w:t>
      </w:r>
      <w:proofErr w:type="gramStart"/>
      <w:r>
        <w:rPr>
          <w:rFonts w:ascii="Calibri Light" w:eastAsia="Times New Roman" w:hAnsi="Calibri Light" w:cs="Calibri Light"/>
          <w:kern w:val="0"/>
          <w14:ligatures w14:val="none"/>
        </w:rPr>
        <w:t>a</w:t>
      </w:r>
      <w:proofErr w:type="gramEnd"/>
      <w:r>
        <w:rPr>
          <w:rFonts w:ascii="Calibri Light" w:eastAsia="Times New Roman" w:hAnsi="Calibri Light" w:cs="Calibri Light"/>
          <w:kern w:val="0"/>
          <w14:ligatures w14:val="none"/>
        </w:rPr>
        <w:t xml:space="preserve"> SSF). Also, there are times when conference revenue or sponsorship revenue may need to be recorded in a custodial or gift fund, respectively, instead of </w:t>
      </w:r>
      <w:proofErr w:type="gramStart"/>
      <w:r>
        <w:rPr>
          <w:rFonts w:ascii="Calibri Light" w:eastAsia="Times New Roman" w:hAnsi="Calibri Light" w:cs="Calibri Light"/>
          <w:kern w:val="0"/>
          <w14:ligatures w14:val="none"/>
        </w:rPr>
        <w:t>a</w:t>
      </w:r>
      <w:proofErr w:type="gramEnd"/>
      <w:r>
        <w:rPr>
          <w:rFonts w:ascii="Calibri Light" w:eastAsia="Times New Roman" w:hAnsi="Calibri Light" w:cs="Calibri Light"/>
          <w:kern w:val="0"/>
          <w14:ligatures w14:val="none"/>
        </w:rPr>
        <w:t xml:space="preserve"> SSF. It is important to consider the details of each scenario before recording the activities within </w:t>
      </w:r>
      <w:proofErr w:type="gramStart"/>
      <w:r>
        <w:rPr>
          <w:rFonts w:ascii="Calibri Light" w:eastAsia="Times New Roman" w:hAnsi="Calibri Light" w:cs="Calibri Light"/>
          <w:kern w:val="0"/>
          <w14:ligatures w14:val="none"/>
        </w:rPr>
        <w:t>a</w:t>
      </w:r>
      <w:proofErr w:type="gramEnd"/>
      <w:r>
        <w:rPr>
          <w:rFonts w:ascii="Calibri Light" w:eastAsia="Times New Roman" w:hAnsi="Calibri Light" w:cs="Calibri Light"/>
          <w:kern w:val="0"/>
          <w14:ligatures w14:val="none"/>
        </w:rPr>
        <w:t xml:space="preserve"> SSF. </w:t>
      </w:r>
    </w:p>
    <w:p w14:paraId="34CC5F23" w14:textId="77777777" w:rsidR="00920A23" w:rsidRDefault="00920A23" w:rsidP="00920A23">
      <w:pPr>
        <w:pStyle w:val="ListParagraph"/>
        <w:numPr>
          <w:ilvl w:val="5"/>
          <w:numId w:val="2"/>
        </w:numPr>
        <w:spacing w:after="0" w:line="240" w:lineRule="auto"/>
        <w:jc w:val="both"/>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 xml:space="preserve">For further details and examples, see </w:t>
      </w:r>
      <w:hyperlink r:id="rId13" w:history="1">
        <w:r>
          <w:rPr>
            <w:rStyle w:val="Hyperlink"/>
            <w:rFonts w:ascii="Calibri Light" w:eastAsia="Times New Roman" w:hAnsi="Calibri Light" w:cs="Calibri Light"/>
            <w:kern w:val="0"/>
            <w14:ligatures w14:val="none"/>
          </w:rPr>
          <w:t>11.13 Accounting for Qualified Sponsorships</w:t>
        </w:r>
      </w:hyperlink>
      <w:r>
        <w:rPr>
          <w:rFonts w:ascii="Calibri Light" w:eastAsia="Times New Roman" w:hAnsi="Calibri Light" w:cs="Calibri Light"/>
          <w:kern w:val="0"/>
          <w14:ligatures w14:val="none"/>
        </w:rPr>
        <w:t xml:space="preserve"> and </w:t>
      </w:r>
      <w:hyperlink r:id="rId14" w:history="1">
        <w:r>
          <w:rPr>
            <w:rStyle w:val="Hyperlink"/>
            <w:rFonts w:ascii="Calibri Light" w:eastAsia="Times New Roman" w:hAnsi="Calibri Light" w:cs="Calibri Light"/>
            <w:kern w:val="0"/>
            <w14:ligatures w14:val="none"/>
          </w:rPr>
          <w:t>13.6 Revenue-Generating Events</w:t>
        </w:r>
      </w:hyperlink>
      <w:r>
        <w:rPr>
          <w:rFonts w:ascii="Calibri Light" w:eastAsia="Times New Roman" w:hAnsi="Calibri Light" w:cs="Calibri Light"/>
          <w:kern w:val="0"/>
          <w14:ligatures w14:val="none"/>
        </w:rPr>
        <w:t xml:space="preserve">. </w:t>
      </w:r>
    </w:p>
    <w:p w14:paraId="1F6A9842" w14:textId="77777777" w:rsidR="00920A23" w:rsidRDefault="00920A23" w:rsidP="00920A23">
      <w:pPr>
        <w:pStyle w:val="ListParagraph"/>
        <w:spacing w:after="0" w:line="240" w:lineRule="auto"/>
        <w:ind w:left="1080"/>
        <w:jc w:val="both"/>
        <w:rPr>
          <w:rFonts w:ascii="Calibri Light" w:eastAsia="Times New Roman" w:hAnsi="Calibri Light" w:cs="Calibri Light"/>
          <w:kern w:val="0"/>
          <w14:ligatures w14:val="none"/>
        </w:rPr>
      </w:pPr>
    </w:p>
    <w:p w14:paraId="575FEDF2" w14:textId="77777777" w:rsidR="00920A23" w:rsidRDefault="00920A23" w:rsidP="00920A23">
      <w:pPr>
        <w:pStyle w:val="paragraph"/>
        <w:numPr>
          <w:ilvl w:val="3"/>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Ensure that the SSF is reconciled on a regular basis and that any discrepancies are corrected on a timely basis once they are identified. In addition, keep in mind that a final reconciliation for June 30 period 12 business is required at the end of the fiscal year, to ensure that any errors are corrected by the close of the fiscal year. This will ensure accuracy for the system’s audited financial statements. </w:t>
      </w:r>
    </w:p>
    <w:p w14:paraId="1638522E" w14:textId="77777777" w:rsidR="00920A23" w:rsidRDefault="00920A23" w:rsidP="00920A23">
      <w:pPr>
        <w:pStyle w:val="paragraph"/>
        <w:shd w:val="clear" w:color="auto" w:fill="FFFFFF"/>
        <w:spacing w:before="0" w:beforeAutospacing="0" w:after="0" w:afterAutospacing="0"/>
        <w:ind w:left="360"/>
        <w:contextualSpacing/>
        <w:jc w:val="both"/>
        <w:textAlignment w:val="baseline"/>
        <w:rPr>
          <w:rFonts w:ascii="Calibri Light" w:hAnsi="Calibri Light" w:cs="Calibri Light"/>
          <w:sz w:val="22"/>
          <w:szCs w:val="22"/>
        </w:rPr>
      </w:pPr>
    </w:p>
    <w:p w14:paraId="09B56C75" w14:textId="77777777" w:rsidR="00920A23" w:rsidRDefault="00920A23" w:rsidP="00920A23">
      <w:pPr>
        <w:pStyle w:val="paragraph"/>
        <w:numPr>
          <w:ilvl w:val="3"/>
          <w:numId w:val="2"/>
        </w:numPr>
        <w:shd w:val="clear" w:color="auto" w:fill="FFFFFF"/>
        <w:spacing w:before="0" w:beforeAutospacing="0" w:after="0" w:afterAutospacing="0"/>
        <w:contextualSpacing/>
        <w:jc w:val="both"/>
        <w:textAlignment w:val="baseline"/>
        <w:rPr>
          <w:rFonts w:ascii="Calibri Light" w:hAnsi="Calibri Light" w:cs="Calibri Light"/>
          <w:sz w:val="22"/>
          <w:szCs w:val="22"/>
        </w:rPr>
      </w:pPr>
      <w:r>
        <w:rPr>
          <w:rFonts w:ascii="Calibri Light" w:hAnsi="Calibri Light" w:cs="Calibri Light"/>
          <w:sz w:val="22"/>
          <w:szCs w:val="22"/>
        </w:rPr>
        <w:t xml:space="preserve">Understand how unspent funds within a SSF carry forward to the following fiscal year and understand the difference between a SSF’s cash balance and fund balance. </w:t>
      </w:r>
    </w:p>
    <w:p w14:paraId="100E6B65" w14:textId="77777777" w:rsidR="00920A23" w:rsidRDefault="00920A23" w:rsidP="00920A23">
      <w:pPr>
        <w:pStyle w:val="ListParagraph"/>
        <w:numPr>
          <w:ilvl w:val="4"/>
          <w:numId w:val="2"/>
        </w:numPr>
        <w:shd w:val="clear" w:color="auto" w:fill="FFFFFF"/>
        <w:spacing w:after="0" w:line="240" w:lineRule="auto"/>
        <w:jc w:val="both"/>
        <w:textAlignment w:val="baseline"/>
        <w:rPr>
          <w:rFonts w:ascii="Calibri Light" w:hAnsi="Calibri Light" w:cs="Calibri Light"/>
        </w:rPr>
      </w:pPr>
      <w:r>
        <w:rPr>
          <w:rFonts w:ascii="Calibri Light" w:hAnsi="Calibri Light" w:cs="Calibri Light"/>
        </w:rPr>
        <w:lastRenderedPageBreak/>
        <w:t xml:space="preserve">Unspent funds within a Banner SSF carry forward to the following fiscal year. The unspent balance from the prior fiscal year can be found within </w:t>
      </w:r>
      <w:r>
        <w:rPr>
          <w:rFonts w:ascii="Calibri Light" w:eastAsia="Times New Roman" w:hAnsi="Calibri Light" w:cs="Calibri Light"/>
          <w:kern w:val="0"/>
          <w14:ligatures w14:val="none"/>
        </w:rPr>
        <w:t xml:space="preserve">the </w:t>
      </w:r>
      <w:r>
        <w:rPr>
          <w:rFonts w:ascii="Calibri Light" w:eastAsia="Times New Roman" w:hAnsi="Calibri Light" w:cs="Calibri Light"/>
          <w:i/>
          <w:iCs/>
          <w:kern w:val="0"/>
          <w14:ligatures w14:val="none"/>
        </w:rPr>
        <w:t>Claim on Cash</w:t>
      </w:r>
      <w:r>
        <w:rPr>
          <w:rFonts w:ascii="Calibri Light" w:eastAsia="Times New Roman" w:hAnsi="Calibri Light" w:cs="Calibri Light"/>
          <w:kern w:val="0"/>
          <w14:ligatures w14:val="none"/>
        </w:rPr>
        <w:t xml:space="preserve"> balance within Banner page </w:t>
      </w:r>
      <w:r>
        <w:rPr>
          <w:rFonts w:ascii="Calibri Light" w:eastAsia="Times New Roman" w:hAnsi="Calibri Light" w:cs="Calibri Light"/>
          <w:b/>
          <w:bCs/>
          <w:kern w:val="0"/>
          <w14:ligatures w14:val="none"/>
        </w:rPr>
        <w:t>FGITBSR</w:t>
      </w:r>
      <w:r>
        <w:rPr>
          <w:rFonts w:ascii="Calibri Light" w:eastAsia="Times New Roman" w:hAnsi="Calibri Light" w:cs="Calibri Light"/>
          <w:kern w:val="0"/>
          <w14:ligatures w14:val="none"/>
        </w:rPr>
        <w:t xml:space="preserve">. </w:t>
      </w:r>
    </w:p>
    <w:p w14:paraId="143ABF96" w14:textId="77777777" w:rsidR="00920A23" w:rsidRDefault="00920A23" w:rsidP="00920A23">
      <w:pPr>
        <w:pStyle w:val="ListParagraph"/>
        <w:numPr>
          <w:ilvl w:val="4"/>
          <w:numId w:val="2"/>
        </w:numPr>
        <w:shd w:val="clear" w:color="auto" w:fill="FFFFFF"/>
        <w:spacing w:after="0" w:line="240" w:lineRule="auto"/>
        <w:jc w:val="both"/>
        <w:textAlignment w:val="baseline"/>
        <w:rPr>
          <w:rFonts w:ascii="Calibri Light" w:hAnsi="Calibri Light" w:cs="Calibri Light"/>
        </w:rPr>
      </w:pPr>
      <w:r>
        <w:rPr>
          <w:rFonts w:ascii="Calibri Light" w:hAnsi="Calibri Light" w:cs="Calibri Light"/>
        </w:rPr>
        <w:t xml:space="preserve">A SSF’s cash balance differs from its fund balance. While the </w:t>
      </w:r>
      <w:r>
        <w:rPr>
          <w:rFonts w:ascii="Calibri Light" w:hAnsi="Calibri Light" w:cs="Calibri Light"/>
          <w:i/>
          <w:iCs/>
        </w:rPr>
        <w:t xml:space="preserve">Claim on Cash </w:t>
      </w:r>
      <w:r>
        <w:rPr>
          <w:rFonts w:ascii="Calibri Light" w:hAnsi="Calibri Light" w:cs="Calibri Light"/>
        </w:rPr>
        <w:t xml:space="preserve">balance represents the cash </w:t>
      </w:r>
      <w:proofErr w:type="gramStart"/>
      <w:r>
        <w:rPr>
          <w:rFonts w:ascii="Calibri Light" w:hAnsi="Calibri Light" w:cs="Calibri Light"/>
        </w:rPr>
        <w:t>on</w:t>
      </w:r>
      <w:proofErr w:type="gramEnd"/>
      <w:r>
        <w:rPr>
          <w:rFonts w:ascii="Calibri Light" w:hAnsi="Calibri Light" w:cs="Calibri Light"/>
        </w:rPr>
        <w:t xml:space="preserve"> hand, the SSF’s computed fund balance represents the difference between a SSF’s total assets and total liabilities (i.e., what the SSF owns vs. what the SSF owes). </w:t>
      </w:r>
    </w:p>
    <w:p w14:paraId="2CD49251" w14:textId="77777777" w:rsidR="00920A23" w:rsidRDefault="00920A23" w:rsidP="00920A23">
      <w:pPr>
        <w:pStyle w:val="ListParagraph"/>
        <w:numPr>
          <w:ilvl w:val="4"/>
          <w:numId w:val="2"/>
        </w:numPr>
        <w:shd w:val="clear" w:color="auto" w:fill="FFFFFF"/>
        <w:spacing w:after="0" w:line="240" w:lineRule="auto"/>
        <w:jc w:val="both"/>
        <w:textAlignment w:val="baseline"/>
        <w:rPr>
          <w:rFonts w:ascii="Calibri Light" w:hAnsi="Calibri Light" w:cs="Calibri Light"/>
        </w:rPr>
      </w:pPr>
      <w:r>
        <w:rPr>
          <w:rFonts w:ascii="Calibri Light" w:hAnsi="Calibri Light" w:cs="Calibri Light"/>
        </w:rPr>
        <w:t>While cash is one type of asset that contributes toward the SSF’s computed fund balance, there are other assets and liabilities on the SSF’s general ledger that contribute toward the SSF’s computed fund balance as well. Common examples include assets such as accounts receivable, inventory for resale, and prepaid expenses as well as liabilities such as accounts payable and deferred revenue.</w:t>
      </w:r>
    </w:p>
    <w:p w14:paraId="71FE096F" w14:textId="77777777" w:rsidR="00920A23" w:rsidRDefault="00920A23" w:rsidP="00920A23">
      <w:pPr>
        <w:pStyle w:val="ListParagraph"/>
        <w:numPr>
          <w:ilvl w:val="4"/>
          <w:numId w:val="2"/>
        </w:numPr>
        <w:shd w:val="clear" w:color="auto" w:fill="FFFFFF"/>
        <w:spacing w:after="0" w:line="240" w:lineRule="auto"/>
        <w:jc w:val="both"/>
        <w:textAlignment w:val="baseline"/>
        <w:rPr>
          <w:rFonts w:ascii="Calibri Light" w:hAnsi="Calibri Light" w:cs="Calibri Light"/>
        </w:rPr>
      </w:pPr>
      <w:r>
        <w:rPr>
          <w:rFonts w:ascii="Calibri Light" w:hAnsi="Calibri Light" w:cs="Calibri Light"/>
        </w:rPr>
        <w:t xml:space="preserve">If the computed fund balance is a credit balance, then that means the SSF’s assets are </w:t>
      </w:r>
      <w:r>
        <w:rPr>
          <w:rFonts w:ascii="Calibri Light" w:hAnsi="Calibri Light" w:cs="Calibri Light"/>
          <w:i/>
          <w:iCs/>
        </w:rPr>
        <w:t>greater than</w:t>
      </w:r>
      <w:r>
        <w:rPr>
          <w:rFonts w:ascii="Calibri Light" w:hAnsi="Calibri Light" w:cs="Calibri Light"/>
        </w:rPr>
        <w:t xml:space="preserve"> its liabilities. This is commonly referred to as a “normal” or positive fund balance. However, if the computed fund balance is a debit balance, then that means the SSF’s assets are </w:t>
      </w:r>
      <w:r>
        <w:rPr>
          <w:rFonts w:ascii="Calibri Light" w:hAnsi="Calibri Light" w:cs="Calibri Light"/>
          <w:i/>
          <w:iCs/>
        </w:rPr>
        <w:t>less than</w:t>
      </w:r>
      <w:r>
        <w:rPr>
          <w:rFonts w:ascii="Calibri Light" w:hAnsi="Calibri Light" w:cs="Calibri Light"/>
        </w:rPr>
        <w:t xml:space="preserve"> its liabilities. This is commonly referred to as a “non-normal” or negative fund balance. </w:t>
      </w:r>
    </w:p>
    <w:p w14:paraId="39BCE9A0" w14:textId="77777777" w:rsidR="00920A23" w:rsidRDefault="00920A23" w:rsidP="00920A23">
      <w:pPr>
        <w:pStyle w:val="ListParagraph"/>
        <w:shd w:val="clear" w:color="auto" w:fill="FFFFFF"/>
        <w:spacing w:after="0" w:line="240" w:lineRule="auto"/>
        <w:jc w:val="both"/>
        <w:textAlignment w:val="baseline"/>
        <w:rPr>
          <w:rStyle w:val="normaltextrun"/>
        </w:rPr>
      </w:pPr>
    </w:p>
    <w:p w14:paraId="1F5B742C" w14:textId="77777777" w:rsidR="00920A23" w:rsidRDefault="00920A23" w:rsidP="00920A23">
      <w:pPr>
        <w:pStyle w:val="paragraph"/>
        <w:numPr>
          <w:ilvl w:val="3"/>
          <w:numId w:val="2"/>
        </w:numPr>
        <w:shd w:val="clear" w:color="auto" w:fill="FFFFFF"/>
        <w:spacing w:before="0" w:beforeAutospacing="0" w:after="0" w:afterAutospacing="0"/>
        <w:contextualSpacing/>
        <w:jc w:val="both"/>
        <w:textAlignment w:val="baseline"/>
        <w:rPr>
          <w:sz w:val="22"/>
          <w:szCs w:val="22"/>
        </w:rPr>
      </w:pPr>
      <w:r>
        <w:rPr>
          <w:rStyle w:val="normaltextrun"/>
          <w:rFonts w:ascii="Calibri Light" w:eastAsiaTheme="majorEastAsia" w:hAnsi="Calibri Light" w:cs="Calibri Light"/>
          <w:color w:val="000000"/>
          <w:sz w:val="22"/>
          <w:szCs w:val="22"/>
        </w:rPr>
        <w:t>Finally, if the activity within a SSF ever comes to an end (e.g., a unit decides to no longer sell the goods and/or services that were being sold from the SSF), then the unit will need to:</w:t>
      </w:r>
    </w:p>
    <w:p w14:paraId="128475AF" w14:textId="77777777" w:rsidR="00920A23" w:rsidRDefault="00920A23" w:rsidP="00920A23">
      <w:pPr>
        <w:pStyle w:val="paragraph"/>
        <w:numPr>
          <w:ilvl w:val="4"/>
          <w:numId w:val="2"/>
        </w:numPr>
        <w:shd w:val="clear" w:color="auto" w:fill="FFFFFF"/>
        <w:spacing w:before="0" w:beforeAutospacing="0" w:after="0" w:afterAutospacing="0"/>
        <w:contextualSpacing/>
        <w:jc w:val="both"/>
        <w:textAlignment w:val="baseline"/>
        <w:rPr>
          <w:rStyle w:val="normaltextrun"/>
        </w:rPr>
      </w:pPr>
      <w:r>
        <w:rPr>
          <w:rStyle w:val="normaltextrun"/>
          <w:rFonts w:ascii="Calibri Light" w:eastAsiaTheme="majorEastAsia" w:hAnsi="Calibri Light" w:cs="Calibri Light"/>
          <w:color w:val="000000"/>
          <w:sz w:val="22"/>
          <w:szCs w:val="22"/>
        </w:rPr>
        <w:t xml:space="preserve">Perform a final reconciliation of the SSF activity on any organization and/or program codes used with that SSF to ensure all transactions are appropriate and to correct any errors that are found. The reconciliation should include a review of both the general ledger and operating ledger balances. </w:t>
      </w:r>
    </w:p>
    <w:p w14:paraId="7EA368CD" w14:textId="77777777" w:rsidR="00920A23" w:rsidRDefault="00920A23" w:rsidP="00920A23">
      <w:pPr>
        <w:pStyle w:val="paragraph"/>
        <w:numPr>
          <w:ilvl w:val="4"/>
          <w:numId w:val="2"/>
        </w:numPr>
        <w:shd w:val="clear" w:color="auto" w:fill="FFFFFF"/>
        <w:spacing w:before="0" w:beforeAutospacing="0" w:after="0" w:afterAutospacing="0"/>
        <w:contextualSpacing/>
        <w:jc w:val="both"/>
        <w:textAlignment w:val="baseline"/>
        <w:rPr>
          <w:rStyle w:val="normaltextrun"/>
          <w:rFonts w:ascii="Calibri Light" w:hAnsi="Calibri Light" w:cs="Calibri Light"/>
          <w:sz w:val="22"/>
          <w:szCs w:val="22"/>
        </w:rPr>
      </w:pPr>
      <w:r>
        <w:rPr>
          <w:rStyle w:val="normaltextrun"/>
          <w:rFonts w:ascii="Calibri Light" w:hAnsi="Calibri Light" w:cs="Calibri Light"/>
          <w:sz w:val="22"/>
          <w:szCs w:val="22"/>
        </w:rPr>
        <w:t xml:space="preserve">Ensure that any payroll appointments, jobs, detail codes, encumbrances, or </w:t>
      </w:r>
      <w:proofErr w:type="spellStart"/>
      <w:r>
        <w:rPr>
          <w:rStyle w:val="normaltextrun"/>
          <w:rFonts w:ascii="Calibri Light" w:hAnsi="Calibri Light" w:cs="Calibri Light"/>
          <w:sz w:val="22"/>
          <w:szCs w:val="22"/>
        </w:rPr>
        <w:t>PCards</w:t>
      </w:r>
      <w:proofErr w:type="spellEnd"/>
      <w:r>
        <w:rPr>
          <w:rStyle w:val="normaltextrun"/>
          <w:rFonts w:ascii="Calibri Light" w:hAnsi="Calibri Light" w:cs="Calibri Light"/>
          <w:sz w:val="22"/>
          <w:szCs w:val="22"/>
        </w:rPr>
        <w:t>/</w:t>
      </w:r>
      <w:proofErr w:type="spellStart"/>
      <w:r>
        <w:rPr>
          <w:rStyle w:val="normaltextrun"/>
          <w:rFonts w:ascii="Calibri Light" w:hAnsi="Calibri Light" w:cs="Calibri Light"/>
          <w:sz w:val="22"/>
          <w:szCs w:val="22"/>
        </w:rPr>
        <w:t>TCards</w:t>
      </w:r>
      <w:proofErr w:type="spellEnd"/>
      <w:r>
        <w:rPr>
          <w:rStyle w:val="normaltextrun"/>
          <w:rFonts w:ascii="Calibri Light" w:hAnsi="Calibri Light" w:cs="Calibri Light"/>
          <w:sz w:val="22"/>
          <w:szCs w:val="22"/>
        </w:rPr>
        <w:t xml:space="preserve"> that are assigned to the SSF are removed prior to submitting the termination request. See </w:t>
      </w:r>
      <w:hyperlink r:id="rId15" w:history="1">
        <w:r>
          <w:rPr>
            <w:rStyle w:val="Hyperlink"/>
            <w:rFonts w:ascii="Calibri Light" w:eastAsiaTheme="majorEastAsia" w:hAnsi="Calibri Light" w:cs="Calibri Light"/>
            <w:b/>
            <w:bCs/>
            <w:sz w:val="22"/>
            <w:szCs w:val="22"/>
          </w:rPr>
          <w:t>Terminations</w:t>
        </w:r>
      </w:hyperlink>
      <w:r>
        <w:rPr>
          <w:rStyle w:val="normaltextrun"/>
          <w:rFonts w:ascii="Calibri Light" w:hAnsi="Calibri Light" w:cs="Calibri Light"/>
          <w:b/>
          <w:bCs/>
          <w:sz w:val="22"/>
          <w:szCs w:val="22"/>
        </w:rPr>
        <w:t xml:space="preserve"> </w:t>
      </w:r>
      <w:r>
        <w:rPr>
          <w:rStyle w:val="normaltextrun"/>
          <w:rFonts w:ascii="Calibri Light" w:hAnsi="Calibri Light" w:cs="Calibri Light"/>
          <w:sz w:val="22"/>
          <w:szCs w:val="22"/>
        </w:rPr>
        <w:t xml:space="preserve">for further details. </w:t>
      </w:r>
    </w:p>
    <w:p w14:paraId="5DF88372" w14:textId="77777777" w:rsidR="00920A23" w:rsidRDefault="00920A23" w:rsidP="00920A23">
      <w:pPr>
        <w:pStyle w:val="paragraph"/>
        <w:numPr>
          <w:ilvl w:val="4"/>
          <w:numId w:val="2"/>
        </w:numPr>
        <w:shd w:val="clear" w:color="auto" w:fill="FFFFFF"/>
        <w:spacing w:before="0" w:beforeAutospacing="0" w:after="0" w:afterAutospacing="0"/>
        <w:contextualSpacing/>
        <w:jc w:val="both"/>
        <w:textAlignment w:val="baseline"/>
      </w:pPr>
      <w:r>
        <w:rPr>
          <w:rStyle w:val="normaltextrun"/>
          <w:rFonts w:ascii="Calibri Light" w:eastAsiaTheme="majorEastAsia" w:hAnsi="Calibri Light" w:cs="Calibri Light"/>
          <w:color w:val="000000"/>
          <w:sz w:val="22"/>
          <w:szCs w:val="22"/>
        </w:rPr>
        <w:t>Once all issues are rectified and cleared, submit a termination request to UAFR (</w:t>
      </w:r>
      <w:hyperlink r:id="rId16" w:tgtFrame="_blank" w:history="1">
        <w:r>
          <w:rPr>
            <w:rStyle w:val="normaltextrun"/>
            <w:rFonts w:ascii="Calibri Light" w:eastAsiaTheme="majorEastAsia" w:hAnsi="Calibri Light" w:cs="Calibri Light"/>
            <w:color w:val="0000FF"/>
            <w:sz w:val="22"/>
            <w:szCs w:val="22"/>
            <w:u w:val="single"/>
          </w:rPr>
          <w:t>uas@uillinois.edu</w:t>
        </w:r>
      </w:hyperlink>
      <w:r>
        <w:rPr>
          <w:rStyle w:val="normaltextrun"/>
          <w:rFonts w:ascii="Calibri Light" w:eastAsiaTheme="majorEastAsia" w:hAnsi="Calibri Light" w:cs="Calibri Light"/>
          <w:color w:val="000000"/>
          <w:sz w:val="22"/>
          <w:szCs w:val="22"/>
        </w:rPr>
        <w:t>) requesting that the SSF (and any program used specifically with that SSF) be terminated.</w:t>
      </w:r>
    </w:p>
    <w:p w14:paraId="21D799BD"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p>
    <w:p w14:paraId="67319BA9" w14:textId="77777777" w:rsidR="00920A23" w:rsidRDefault="00920A23" w:rsidP="00920A23">
      <w:pPr>
        <w:pStyle w:val="Heading2"/>
        <w:keepNext w:val="0"/>
        <w:keepLines w:val="0"/>
        <w:shd w:val="clear" w:color="auto" w:fill="FFFFFF"/>
        <w:spacing w:before="0" w:after="0" w:line="240" w:lineRule="auto"/>
        <w:jc w:val="both"/>
        <w:rPr>
          <w:rFonts w:ascii="Calibri Light" w:hAnsi="Calibri Light" w:cs="Calibri Light"/>
          <w:b/>
          <w:bCs/>
          <w:color w:val="13294B"/>
          <w:sz w:val="22"/>
          <w:szCs w:val="22"/>
        </w:rPr>
      </w:pPr>
      <w:r>
        <w:rPr>
          <w:rFonts w:ascii="Calibri Light" w:hAnsi="Calibri Light" w:cs="Calibri Light"/>
          <w:b/>
          <w:bCs/>
          <w:color w:val="13294B"/>
          <w:sz w:val="22"/>
          <w:szCs w:val="22"/>
        </w:rPr>
        <w:t>Related Policies and Procedures</w:t>
      </w:r>
    </w:p>
    <w:p w14:paraId="752D7E7A"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hyperlink r:id="rId17" w:history="1">
        <w:r>
          <w:rPr>
            <w:rStyle w:val="Hyperlink"/>
            <w:rFonts w:ascii="Calibri Light" w:eastAsiaTheme="majorEastAsia" w:hAnsi="Calibri Light" w:cs="Calibri Light"/>
            <w:sz w:val="22"/>
            <w:szCs w:val="22"/>
          </w:rPr>
          <w:t>5 Receivables</w:t>
        </w:r>
      </w:hyperlink>
    </w:p>
    <w:p w14:paraId="6D5A1796"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hyperlink r:id="rId18" w:history="1">
        <w:r>
          <w:rPr>
            <w:rStyle w:val="Hyperlink"/>
            <w:rFonts w:ascii="Calibri Light" w:eastAsiaTheme="majorEastAsia" w:hAnsi="Calibri Light" w:cs="Calibri Light"/>
            <w:sz w:val="22"/>
            <w:szCs w:val="22"/>
          </w:rPr>
          <w:t>11.3 Campus Processing of Gifts</w:t>
        </w:r>
      </w:hyperlink>
    </w:p>
    <w:p w14:paraId="3447CCB4"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hyperlink r:id="rId19" w:history="1">
        <w:r>
          <w:rPr>
            <w:rStyle w:val="Hyperlink"/>
            <w:rFonts w:ascii="Calibri Light" w:eastAsiaTheme="majorEastAsia" w:hAnsi="Calibri Light" w:cs="Calibri Light"/>
            <w:sz w:val="22"/>
            <w:szCs w:val="22"/>
          </w:rPr>
          <w:t>13.6 Revenue-Generating Events</w:t>
        </w:r>
      </w:hyperlink>
    </w:p>
    <w:p w14:paraId="4184EEEE" w14:textId="77777777" w:rsidR="00920A23" w:rsidRDefault="00920A23" w:rsidP="00920A23">
      <w:pPr>
        <w:shd w:val="clear" w:color="auto" w:fill="FFFFFF"/>
        <w:spacing w:after="0" w:line="240" w:lineRule="auto"/>
        <w:jc w:val="both"/>
        <w:rPr>
          <w:rFonts w:ascii="Calibri Light" w:hAnsi="Calibri Light" w:cs="Calibri Light"/>
          <w:color w:val="000000"/>
        </w:rPr>
      </w:pPr>
      <w:hyperlink r:id="rId20" w:history="1">
        <w:r>
          <w:rPr>
            <w:rStyle w:val="Hyperlink"/>
            <w:rFonts w:ascii="Calibri Light" w:eastAsia="Times New Roman" w:hAnsi="Calibri Light" w:cs="Calibri Light"/>
          </w:rPr>
          <w:t>18.6 Sales and Use Tax</w:t>
        </w:r>
      </w:hyperlink>
    </w:p>
    <w:p w14:paraId="23CEFCA0"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color w:val="000000"/>
        </w:rPr>
      </w:pPr>
      <w:hyperlink r:id="rId21" w:tgtFrame="_blank" w:history="1">
        <w:r>
          <w:rPr>
            <w:rStyle w:val="Hyperlink"/>
            <w:rFonts w:ascii="Calibri Light" w:eastAsiaTheme="majorEastAsia" w:hAnsi="Calibri Light" w:cs="Calibri Light"/>
            <w:color w:val="003F7F"/>
            <w:sz w:val="22"/>
            <w:szCs w:val="22"/>
          </w:rPr>
          <w:t>18.13 Unrelated Business Income Tax</w:t>
        </w:r>
      </w:hyperlink>
      <w:r>
        <w:rPr>
          <w:rFonts w:ascii="Calibri Light" w:hAnsi="Calibri Light" w:cs="Calibri Light"/>
          <w:color w:val="000000"/>
        </w:rPr>
        <w:t xml:space="preserve"> </w:t>
      </w:r>
    </w:p>
    <w:p w14:paraId="56BE49A2"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commentRangeStart w:id="4"/>
      <w:r>
        <w:rPr>
          <w:rFonts w:ascii="Calibri Light" w:hAnsi="Calibri Light" w:cs="Calibri Light"/>
          <w:sz w:val="22"/>
          <w:szCs w:val="22"/>
        </w:rPr>
        <w:t>22.2 Self-Supporting Excess Funds</w:t>
      </w:r>
      <w:commentRangeEnd w:id="4"/>
      <w:r>
        <w:rPr>
          <w:rStyle w:val="CommentReference"/>
          <w:rFonts w:eastAsiaTheme="minorHAnsi"/>
        </w:rPr>
        <w:commentReference w:id="4"/>
      </w:r>
    </w:p>
    <w:p w14:paraId="5D1BBEF1"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commentRangeStart w:id="5"/>
      <w:r>
        <w:rPr>
          <w:rFonts w:ascii="Calibri Light" w:hAnsi="Calibri Light" w:cs="Calibri Light"/>
          <w:sz w:val="22"/>
          <w:szCs w:val="22"/>
        </w:rPr>
        <w:t>22.3 Self-Supporting Fund Deficits</w:t>
      </w:r>
      <w:commentRangeEnd w:id="5"/>
      <w:r>
        <w:rPr>
          <w:rStyle w:val="CommentReference"/>
          <w:rFonts w:eastAsiaTheme="minorHAnsi"/>
        </w:rPr>
        <w:commentReference w:id="5"/>
      </w:r>
    </w:p>
    <w:p w14:paraId="0C78FD65"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p>
    <w:p w14:paraId="189DB701" w14:textId="77777777" w:rsidR="00920A23" w:rsidRDefault="00920A23" w:rsidP="00920A23">
      <w:pPr>
        <w:pStyle w:val="Heading2"/>
        <w:keepNext w:val="0"/>
        <w:keepLines w:val="0"/>
        <w:shd w:val="clear" w:color="auto" w:fill="FFFFFF"/>
        <w:spacing w:before="0" w:after="0" w:line="240" w:lineRule="auto"/>
        <w:jc w:val="both"/>
        <w:rPr>
          <w:rFonts w:ascii="Calibri Light" w:hAnsi="Calibri Light" w:cs="Calibri Light"/>
          <w:b/>
          <w:bCs/>
          <w:color w:val="13294B"/>
          <w:sz w:val="22"/>
          <w:szCs w:val="22"/>
        </w:rPr>
      </w:pPr>
      <w:r>
        <w:rPr>
          <w:rFonts w:ascii="Calibri Light" w:hAnsi="Calibri Light" w:cs="Calibri Light"/>
          <w:b/>
          <w:bCs/>
          <w:color w:val="13294B"/>
          <w:sz w:val="22"/>
          <w:szCs w:val="22"/>
        </w:rPr>
        <w:t xml:space="preserve">Forms Used in this </w:t>
      </w:r>
      <w:proofErr w:type="gramStart"/>
      <w:r>
        <w:rPr>
          <w:rFonts w:ascii="Calibri Light" w:hAnsi="Calibri Light" w:cs="Calibri Light"/>
          <w:b/>
          <w:bCs/>
          <w:color w:val="13294B"/>
          <w:sz w:val="22"/>
          <w:szCs w:val="22"/>
        </w:rPr>
        <w:t>Procedure</w:t>
      </w:r>
      <w:proofErr w:type="gramEnd"/>
    </w:p>
    <w:p w14:paraId="75825463"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hyperlink r:id="rId22" w:history="1">
        <w:r>
          <w:rPr>
            <w:rStyle w:val="Hyperlink"/>
            <w:rFonts w:ascii="Calibri Light" w:eastAsiaTheme="majorEastAsia" w:hAnsi="Calibri Light" w:cs="Calibri Light"/>
            <w:sz w:val="22"/>
            <w:szCs w:val="22"/>
          </w:rPr>
          <w:t>Banner Fund, Program, Index Code Request Form</w:t>
        </w:r>
      </w:hyperlink>
    </w:p>
    <w:p w14:paraId="23EC4E8E"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hyperlink r:id="rId23" w:history="1">
        <w:r>
          <w:rPr>
            <w:rStyle w:val="Hyperlink"/>
            <w:rFonts w:ascii="Calibri Light" w:eastAsiaTheme="majorEastAsia" w:hAnsi="Calibri Light" w:cs="Calibri Light"/>
            <w:sz w:val="22"/>
            <w:szCs w:val="22"/>
          </w:rPr>
          <w:t>Finding Your C-FOP Balance</w:t>
        </w:r>
      </w:hyperlink>
    </w:p>
    <w:p w14:paraId="3B8E6957"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hyperlink r:id="rId24" w:history="1">
        <w:r>
          <w:rPr>
            <w:rStyle w:val="Hyperlink"/>
            <w:rFonts w:ascii="Calibri Light" w:eastAsiaTheme="majorEastAsia" w:hAnsi="Calibri Light" w:cs="Calibri Light"/>
          </w:rPr>
          <w:t>Year-End Fact Sheet</w:t>
        </w:r>
      </w:hyperlink>
    </w:p>
    <w:p w14:paraId="616BFA95" w14:textId="77777777" w:rsidR="00920A23" w:rsidRDefault="00920A23" w:rsidP="00920A23">
      <w:pPr>
        <w:pStyle w:val="paragraph"/>
        <w:shd w:val="clear" w:color="auto" w:fill="FFFFFF"/>
        <w:spacing w:before="0" w:beforeAutospacing="0" w:after="0" w:afterAutospacing="0"/>
        <w:jc w:val="both"/>
        <w:textAlignment w:val="baseline"/>
        <w:rPr>
          <w:rFonts w:ascii="Calibri Light" w:hAnsi="Calibri Light" w:cs="Calibri Light"/>
          <w:sz w:val="22"/>
          <w:szCs w:val="22"/>
        </w:rPr>
      </w:pPr>
    </w:p>
    <w:p w14:paraId="06790704" w14:textId="77777777" w:rsidR="00920A23" w:rsidRDefault="00920A23" w:rsidP="00920A23">
      <w:pPr>
        <w:pStyle w:val="Heading2"/>
        <w:keepNext w:val="0"/>
        <w:keepLines w:val="0"/>
        <w:shd w:val="clear" w:color="auto" w:fill="FFFFFF"/>
        <w:spacing w:before="0" w:after="0" w:line="240" w:lineRule="auto"/>
        <w:jc w:val="both"/>
        <w:rPr>
          <w:rFonts w:ascii="Calibri Light" w:hAnsi="Calibri Light" w:cs="Calibri Light"/>
          <w:b/>
          <w:bCs/>
          <w:color w:val="13294B"/>
          <w:sz w:val="22"/>
          <w:szCs w:val="22"/>
        </w:rPr>
      </w:pPr>
      <w:r>
        <w:rPr>
          <w:rFonts w:ascii="Calibri Light" w:hAnsi="Calibri Light" w:cs="Calibri Light"/>
          <w:b/>
          <w:bCs/>
          <w:color w:val="13294B"/>
          <w:sz w:val="22"/>
          <w:szCs w:val="22"/>
        </w:rPr>
        <w:t>Additional Resources</w:t>
      </w:r>
    </w:p>
    <w:p w14:paraId="6C0ED29B" w14:textId="77777777" w:rsidR="00920A23" w:rsidRDefault="00920A23" w:rsidP="00920A23">
      <w:pPr>
        <w:spacing w:after="0" w:line="240" w:lineRule="auto"/>
        <w:jc w:val="both"/>
        <w:rPr>
          <w:rFonts w:ascii="Calibri Light" w:hAnsi="Calibri Light" w:cs="Calibri Light"/>
          <w:color w:val="000000"/>
        </w:rPr>
      </w:pPr>
      <w:hyperlink r:id="rId25" w:history="1">
        <w:r>
          <w:rPr>
            <w:rStyle w:val="Hyperlink"/>
            <w:rFonts w:ascii="Calibri Light" w:hAnsi="Calibri Light" w:cs="Calibri Light"/>
          </w:rPr>
          <w:t>Banner Account Codes</w:t>
        </w:r>
      </w:hyperlink>
      <w:r>
        <w:rPr>
          <w:rFonts w:ascii="Calibri Light" w:hAnsi="Calibri Light" w:cs="Calibri Light"/>
          <w:color w:val="000000"/>
        </w:rPr>
        <w:t xml:space="preserve"> </w:t>
      </w:r>
    </w:p>
    <w:p w14:paraId="0FB28051" w14:textId="77777777" w:rsidR="00920A23" w:rsidRDefault="00920A23" w:rsidP="00920A23">
      <w:pPr>
        <w:spacing w:after="0" w:line="240" w:lineRule="auto"/>
        <w:jc w:val="both"/>
        <w:rPr>
          <w:rFonts w:ascii="Calibri Light" w:hAnsi="Calibri Light" w:cs="Calibri Light"/>
          <w:color w:val="000000"/>
        </w:rPr>
      </w:pPr>
      <w:hyperlink r:id="rId26" w:history="1">
        <w:r>
          <w:rPr>
            <w:rStyle w:val="Hyperlink"/>
            <w:rFonts w:ascii="Calibri Light" w:hAnsi="Calibri Light" w:cs="Calibri Light"/>
          </w:rPr>
          <w:t>Banner Program Codes &amp; NACUBO Functions</w:t>
        </w:r>
      </w:hyperlink>
      <w:r>
        <w:rPr>
          <w:rFonts w:ascii="Calibri Light" w:hAnsi="Calibri Light" w:cs="Calibri Light"/>
          <w:color w:val="000000"/>
        </w:rPr>
        <w:t xml:space="preserve"> </w:t>
      </w:r>
    </w:p>
    <w:p w14:paraId="4DF16E94" w14:textId="77777777" w:rsidR="00920A23" w:rsidRDefault="00920A23" w:rsidP="00920A23">
      <w:pPr>
        <w:spacing w:after="0" w:line="240" w:lineRule="auto"/>
        <w:jc w:val="both"/>
        <w:rPr>
          <w:rStyle w:val="Hyperlink"/>
          <w:rFonts w:eastAsia="Times New Roman"/>
        </w:rPr>
      </w:pPr>
      <w:hyperlink r:id="rId27" w:history="1">
        <w:r>
          <w:rPr>
            <w:rStyle w:val="Hyperlink"/>
            <w:rFonts w:ascii="Calibri Light" w:eastAsia="Times New Roman" w:hAnsi="Calibri Light" w:cs="Calibri Light"/>
          </w:rPr>
          <w:t>Collect and Report Sales and Use Tax</w:t>
        </w:r>
      </w:hyperlink>
    </w:p>
    <w:p w14:paraId="422C04B9" w14:textId="77777777" w:rsidR="00920A23" w:rsidRDefault="00920A23" w:rsidP="00920A23">
      <w:pPr>
        <w:spacing w:after="0" w:line="240" w:lineRule="auto"/>
        <w:jc w:val="both"/>
      </w:pPr>
      <w:hyperlink r:id="rId28" w:history="1">
        <w:r>
          <w:rPr>
            <w:rStyle w:val="Hyperlink"/>
            <w:rFonts w:ascii="Calibri Light" w:hAnsi="Calibri Light" w:cs="Calibri Light"/>
          </w:rPr>
          <w:t>Reconciliation of Financial Activities</w:t>
        </w:r>
      </w:hyperlink>
    </w:p>
    <w:p w14:paraId="16134DE2" w14:textId="30F64CBA" w:rsidR="00E91413" w:rsidRPr="00920A23" w:rsidRDefault="00920A23" w:rsidP="00920A23">
      <w:pPr>
        <w:spacing w:after="0" w:line="240" w:lineRule="auto"/>
        <w:jc w:val="both"/>
        <w:rPr>
          <w:color w:val="0563C1" w:themeColor="hyperlink"/>
          <w:u w:val="single"/>
        </w:rPr>
      </w:pPr>
      <w:hyperlink r:id="rId29" w:history="1">
        <w:r>
          <w:rPr>
            <w:rStyle w:val="Hyperlink"/>
            <w:rFonts w:ascii="Calibri Light" w:hAnsi="Calibri Light" w:cs="Calibri Light"/>
          </w:rPr>
          <w:t>Self-Supporting Funds</w:t>
        </w:r>
      </w:hyperlink>
    </w:p>
    <w:sectPr w:rsidR="00E91413" w:rsidRPr="00920A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allmes, Stacey " w:date="2024-05-22T10:51:00Z" w:initials="SB">
    <w:p w14:paraId="6E60662F" w14:textId="77777777" w:rsidR="00920A23" w:rsidRDefault="00920A23" w:rsidP="00920A23">
      <w:pPr>
        <w:pStyle w:val="CommentText"/>
      </w:pPr>
      <w:r>
        <w:rPr>
          <w:rStyle w:val="CommentReference"/>
        </w:rPr>
        <w:annotationRef/>
      </w:r>
      <w:r>
        <w:t>Link will be added when posted.</w:t>
      </w:r>
    </w:p>
  </w:comment>
  <w:comment w:id="1" w:author="Ballmes, Stacey " w:date="2024-05-22T10:51:00Z" w:initials="SB">
    <w:p w14:paraId="033D0AE5" w14:textId="77777777" w:rsidR="00920A23" w:rsidRDefault="00920A23" w:rsidP="00920A23">
      <w:pPr>
        <w:pStyle w:val="CommentText"/>
      </w:pPr>
      <w:r>
        <w:rPr>
          <w:rStyle w:val="CommentReference"/>
        </w:rPr>
        <w:annotationRef/>
      </w:r>
      <w:r>
        <w:t>Link will be added when posted.</w:t>
      </w:r>
    </w:p>
  </w:comment>
  <w:comment w:id="4" w:author="Ballmes, Stacey " w:date="2024-05-22T10:51:00Z" w:initials="SB">
    <w:p w14:paraId="57D7A35F" w14:textId="77777777" w:rsidR="00920A23" w:rsidRDefault="00920A23" w:rsidP="00920A23">
      <w:pPr>
        <w:pStyle w:val="CommentText"/>
      </w:pPr>
      <w:r>
        <w:rPr>
          <w:rStyle w:val="CommentReference"/>
        </w:rPr>
        <w:annotationRef/>
      </w:r>
      <w:r>
        <w:t>Link will be added when posted.</w:t>
      </w:r>
    </w:p>
  </w:comment>
  <w:comment w:id="5" w:author="Ballmes, Stacey " w:date="2024-05-22T10:51:00Z" w:initials="SB">
    <w:p w14:paraId="06A3457D" w14:textId="77777777" w:rsidR="00920A23" w:rsidRDefault="00920A23" w:rsidP="00920A23">
      <w:pPr>
        <w:pStyle w:val="CommentText"/>
      </w:pPr>
      <w:r>
        <w:rPr>
          <w:rStyle w:val="CommentReference"/>
        </w:rPr>
        <w:annotationRef/>
      </w:r>
      <w:r>
        <w:t>Link will be added when posted.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E60662F" w15:done="0"/>
  <w15:commentEx w15:paraId="033D0AE5" w15:done="0"/>
  <w15:commentEx w15:paraId="57D7A35F" w15:done="0"/>
  <w15:commentEx w15:paraId="06A345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5FC856" w16cex:dateUtc="2024-06-03T19:51:00Z"/>
  <w16cex:commentExtensible w16cex:durableId="69F7C220" w16cex:dateUtc="2024-06-03T19:51:00Z"/>
  <w16cex:commentExtensible w16cex:durableId="20887262" w16cex:dateUtc="2024-06-03T19:51:00Z"/>
  <w16cex:commentExtensible w16cex:durableId="4A8389A2" w16cex:dateUtc="2024-06-03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E60662F" w16cid:durableId="3F5FC856"/>
  <w16cid:commentId w16cid:paraId="033D0AE5" w16cid:durableId="69F7C220"/>
  <w16cid:commentId w16cid:paraId="57D7A35F" w16cid:durableId="20887262"/>
  <w16cid:commentId w16cid:paraId="06A3457D" w16cid:durableId="4A8389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B5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7C817D8"/>
    <w:multiLevelType w:val="multilevel"/>
    <w:tmpl w:val="FB4E6EB6"/>
    <w:lvl w:ilvl="0">
      <w:start w:val="1"/>
      <w:numFmt w:val="decimal"/>
      <w:lvlText w:val="%1)"/>
      <w:lvlJc w:val="left"/>
      <w:pPr>
        <w:ind w:left="-720" w:hanging="360"/>
      </w:pPr>
    </w:lvl>
    <w:lvl w:ilvl="1">
      <w:start w:val="1"/>
      <w:numFmt w:val="lowerLetter"/>
      <w:lvlText w:val="%2)"/>
      <w:lvlJc w:val="left"/>
      <w:pPr>
        <w:ind w:left="-360" w:hanging="360"/>
      </w:pPr>
    </w:lvl>
    <w:lvl w:ilvl="2">
      <w:start w:val="1"/>
      <w:numFmt w:val="lowerRoman"/>
      <w:lvlText w:val="%3)"/>
      <w:lvlJc w:val="left"/>
      <w:pPr>
        <w:ind w:left="0" w:hanging="360"/>
      </w:pPr>
    </w:lvl>
    <w:lvl w:ilvl="3">
      <w:start w:val="1"/>
      <w:numFmt w:val="decimal"/>
      <w:lvlText w:val="(%4)"/>
      <w:lvlJc w:val="left"/>
      <w:pPr>
        <w:ind w:left="360" w:hanging="360"/>
      </w:pPr>
    </w:lvl>
    <w:lvl w:ilvl="4">
      <w:start w:val="1"/>
      <w:numFmt w:val="lowerLetter"/>
      <w:lvlText w:val="%5)"/>
      <w:lvlJc w:val="left"/>
      <w:pPr>
        <w:ind w:left="720" w:hanging="360"/>
      </w:pPr>
    </w:lvl>
    <w:lvl w:ilvl="5">
      <w:start w:val="1"/>
      <w:numFmt w:val="lowerRoman"/>
      <w:lvlText w:val="(%6)"/>
      <w:lvlJc w:val="left"/>
      <w:pPr>
        <w:ind w:left="1080" w:hanging="360"/>
      </w:pPr>
    </w:lvl>
    <w:lvl w:ilvl="6">
      <w:start w:val="1"/>
      <w:numFmt w:val="decimal"/>
      <w:lvlText w:val="%7."/>
      <w:lvlJc w:val="left"/>
      <w:pPr>
        <w:ind w:left="1440" w:hanging="360"/>
      </w:pPr>
    </w:lvl>
    <w:lvl w:ilvl="7">
      <w:start w:val="1"/>
      <w:numFmt w:val="lowerLetter"/>
      <w:lvlText w:val="%8."/>
      <w:lvlJc w:val="left"/>
      <w:pPr>
        <w:ind w:left="1800" w:hanging="360"/>
      </w:pPr>
    </w:lvl>
    <w:lvl w:ilvl="8">
      <w:start w:val="1"/>
      <w:numFmt w:val="lowerRoman"/>
      <w:lvlText w:val="%9."/>
      <w:lvlJc w:val="left"/>
      <w:pPr>
        <w:ind w:left="2160" w:hanging="360"/>
      </w:pPr>
    </w:lvl>
  </w:abstractNum>
  <w:num w:numId="1" w16cid:durableId="570047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2285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allmes, Stacey ">
    <w15:presenceInfo w15:providerId="None" w15:userId="Ballmes, Stacey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23"/>
    <w:rsid w:val="00031822"/>
    <w:rsid w:val="00167AB6"/>
    <w:rsid w:val="006D326F"/>
    <w:rsid w:val="00920A23"/>
    <w:rsid w:val="00E9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CF88"/>
  <w15:chartTrackingRefBased/>
  <w15:docId w15:val="{B9BF5B26-13C7-4FE7-825E-65AF1A94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23"/>
    <w:pPr>
      <w:spacing w:line="256" w:lineRule="auto"/>
    </w:pPr>
  </w:style>
  <w:style w:type="paragraph" w:styleId="Heading2">
    <w:name w:val="heading 2"/>
    <w:basedOn w:val="Normal"/>
    <w:next w:val="Normal"/>
    <w:link w:val="Heading2Char"/>
    <w:uiPriority w:val="9"/>
    <w:semiHidden/>
    <w:unhideWhenUsed/>
    <w:qFormat/>
    <w:rsid w:val="00920A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20A2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920A23"/>
    <w:rPr>
      <w:color w:val="0563C1" w:themeColor="hyperlink"/>
      <w:u w:val="single"/>
    </w:rPr>
  </w:style>
  <w:style w:type="paragraph" w:styleId="NormalWeb">
    <w:name w:val="Normal (Web)"/>
    <w:basedOn w:val="Normal"/>
    <w:uiPriority w:val="99"/>
    <w:semiHidden/>
    <w:unhideWhenUsed/>
    <w:rsid w:val="00920A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uiPriority w:val="99"/>
    <w:semiHidden/>
    <w:unhideWhenUsed/>
    <w:rsid w:val="00920A23"/>
    <w:pPr>
      <w:spacing w:line="240" w:lineRule="auto"/>
    </w:pPr>
    <w:rPr>
      <w:sz w:val="20"/>
      <w:szCs w:val="20"/>
    </w:rPr>
  </w:style>
  <w:style w:type="character" w:customStyle="1" w:styleId="CommentTextChar">
    <w:name w:val="Comment Text Char"/>
    <w:basedOn w:val="DefaultParagraphFont"/>
    <w:link w:val="CommentText"/>
    <w:uiPriority w:val="99"/>
    <w:semiHidden/>
    <w:rsid w:val="00920A23"/>
    <w:rPr>
      <w:sz w:val="20"/>
      <w:szCs w:val="20"/>
    </w:rPr>
  </w:style>
  <w:style w:type="paragraph" w:styleId="ListParagraph">
    <w:name w:val="List Paragraph"/>
    <w:basedOn w:val="Normal"/>
    <w:uiPriority w:val="34"/>
    <w:qFormat/>
    <w:rsid w:val="00920A23"/>
    <w:pPr>
      <w:ind w:left="720"/>
      <w:contextualSpacing/>
    </w:pPr>
  </w:style>
  <w:style w:type="paragraph" w:customStyle="1" w:styleId="paragraph">
    <w:name w:val="paragraph"/>
    <w:basedOn w:val="Normal"/>
    <w:uiPriority w:val="99"/>
    <w:rsid w:val="00920A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920A23"/>
    <w:rPr>
      <w:sz w:val="16"/>
      <w:szCs w:val="16"/>
    </w:rPr>
  </w:style>
  <w:style w:type="character" w:customStyle="1" w:styleId="normaltextrun">
    <w:name w:val="normaltextrun"/>
    <w:basedOn w:val="DefaultParagraphFont"/>
    <w:rsid w:val="00920A23"/>
  </w:style>
  <w:style w:type="character" w:customStyle="1" w:styleId="eop">
    <w:name w:val="eop"/>
    <w:basedOn w:val="DefaultParagraphFont"/>
    <w:rsid w:val="00920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84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www.busfin.uillinois.edu/bfpp/section-11-gifts-endowments/section-11-13" TargetMode="External"/><Relationship Id="rId18" Type="http://schemas.openxmlformats.org/officeDocument/2006/relationships/hyperlink" Target="https://www.busfin.uillinois.edu/bfpp/section-11-gifts-endowments/section-11-3" TargetMode="External"/><Relationship Id="rId26" Type="http://schemas.openxmlformats.org/officeDocument/2006/relationships/hyperlink" Target="https://www.busfin.uillinois.edu/cms/One.aspx?portalId=1993898&amp;pageId=2103669" TargetMode="External"/><Relationship Id="rId3" Type="http://schemas.openxmlformats.org/officeDocument/2006/relationships/settings" Target="settings.xml"/><Relationship Id="rId21" Type="http://schemas.openxmlformats.org/officeDocument/2006/relationships/hyperlink" Target="https://www.busfin.uillinois.edu/bfpp/section-13-accounting/financial-activity-revenue-generating-events" TargetMode="External"/><Relationship Id="rId7" Type="http://schemas.microsoft.com/office/2016/09/relationships/commentsIds" Target="commentsIds.xml"/><Relationship Id="rId12" Type="http://schemas.openxmlformats.org/officeDocument/2006/relationships/hyperlink" Target="https://answers.uillinois.edu/training/119324" TargetMode="External"/><Relationship Id="rId17" Type="http://schemas.openxmlformats.org/officeDocument/2006/relationships/hyperlink" Target="https://www.busfin.uillinois.edu/bfpp/section-5-receivables" TargetMode="External"/><Relationship Id="rId25" Type="http://schemas.openxmlformats.org/officeDocument/2006/relationships/hyperlink" Target="https://www.busfin.uillinois.edu/cms/One.aspx?portalId=1993898&amp;pageId=2103664" TargetMode="External"/><Relationship Id="rId2" Type="http://schemas.openxmlformats.org/officeDocument/2006/relationships/styles" Target="styles.xml"/><Relationship Id="rId16" Type="http://schemas.openxmlformats.org/officeDocument/2006/relationships/hyperlink" Target="mailto:uas@uillinois.edu" TargetMode="External"/><Relationship Id="rId20" Type="http://schemas.openxmlformats.org/officeDocument/2006/relationships/hyperlink" Target="https://www.busfin.uillinois.edu/bfpp/section-18-taxes/section-18-6" TargetMode="External"/><Relationship Id="rId29" Type="http://schemas.openxmlformats.org/officeDocument/2006/relationships/hyperlink" Target="https://www.busfin.uillinois.edu/cms/One.aspx?portalId=1993898&amp;pageId=2103674"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busfin.uillinois.edu/bfpp/section-5-receivables" TargetMode="External"/><Relationship Id="rId24" Type="http://schemas.openxmlformats.org/officeDocument/2006/relationships/hyperlink" Target="https://www.busfin.uillinois.edu/accounting_budgeting/accounting_financial_reporting/year_end_procedures/fact_sheets/" TargetMode="External"/><Relationship Id="rId32" Type="http://schemas.openxmlformats.org/officeDocument/2006/relationships/theme" Target="theme/theme1.xml"/><Relationship Id="rId5" Type="http://schemas.openxmlformats.org/officeDocument/2006/relationships/comments" Target="comments.xml"/><Relationship Id="rId15" Type="http://schemas.openxmlformats.org/officeDocument/2006/relationships/hyperlink" Target="https://www.busfin.uillinois.edu/cms/One.aspx?portalId=1993898&amp;pageId=2103670" TargetMode="External"/><Relationship Id="rId23" Type="http://schemas.openxmlformats.org/officeDocument/2006/relationships/hyperlink" Target="https://answers.uillinois.edu/training/119324" TargetMode="External"/><Relationship Id="rId28" Type="http://schemas.openxmlformats.org/officeDocument/2006/relationships/hyperlink" Target="https://www.busfin.uillinois.edu/cms/One.aspx?portalId=1993898&amp;pageId=2005250" TargetMode="External"/><Relationship Id="rId10" Type="http://schemas.openxmlformats.org/officeDocument/2006/relationships/hyperlink" Target="https://www.busfin.uillinois.edu/accounting_budgeting/accounting_financial_reporting/year_end_procedures/fact_sheets/" TargetMode="External"/><Relationship Id="rId19" Type="http://schemas.openxmlformats.org/officeDocument/2006/relationships/hyperlink" Target="https://www.busfin.uillinois.edu/bfpp/section-13-accounting/financial-activity-revenue-generating-events"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busfin.uillinois.edu/accounting_budgeting/accounting_financial_reporting/year_end_procedures/fact_sheets/" TargetMode="External"/><Relationship Id="rId14" Type="http://schemas.openxmlformats.org/officeDocument/2006/relationships/hyperlink" Target="https://www.busfin.uillinois.edu/bfpp/section-13-accounting/financial-activity-revenue-generating-events" TargetMode="External"/><Relationship Id="rId22" Type="http://schemas.openxmlformats.org/officeDocument/2006/relationships/hyperlink" Target="https://www.obfs.uillinois.edu/common/pages/DisplayFile.aspx?itemId=1801384" TargetMode="External"/><Relationship Id="rId27" Type="http://schemas.openxmlformats.org/officeDocument/2006/relationships/hyperlink" Target="https://www.busfin.uillinois.edu/bfpp/section-22-self-supporting-revenue-generating/collect-report-sales-use-ta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2780</Words>
  <Characters>15851</Characters>
  <Application>Microsoft Office Word</Application>
  <DocSecurity>0</DocSecurity>
  <Lines>132</Lines>
  <Paragraphs>37</Paragraphs>
  <ScaleCrop>false</ScaleCrop>
  <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Gomoll, Alana</dc:creator>
  <cp:keywords/>
  <dc:description/>
  <cp:lastModifiedBy>Gomoll, Alana</cp:lastModifiedBy>
  <cp:revision>1</cp:revision>
  <dcterms:created xsi:type="dcterms:W3CDTF">2024-06-03T19:51:00Z</dcterms:created>
  <dcterms:modified xsi:type="dcterms:W3CDTF">2024-06-03T19:51:00Z</dcterms:modified>
</cp:coreProperties>
</file>