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FF93" w14:textId="204708E6" w:rsidR="008F05D4" w:rsidRDefault="00591031">
      <w:pPr>
        <w:pStyle w:val="Heading1"/>
        <w:ind w:left="1632"/>
      </w:pPr>
      <w:r>
        <w:t>FY19-FY2</w:t>
      </w:r>
      <w:r w:rsidR="00002282">
        <w:t>3</w:t>
      </w:r>
      <w:r>
        <w:t xml:space="preserve"> Final Facilities &amp; Administrative (F&amp;A) Rates</w:t>
      </w:r>
    </w:p>
    <w:p w14:paraId="63538C2F" w14:textId="77777777" w:rsidR="008F05D4" w:rsidRDefault="008F05D4">
      <w:pPr>
        <w:pStyle w:val="BodyText"/>
        <w:spacing w:before="10"/>
        <w:rPr>
          <w:b/>
          <w:sz w:val="19"/>
        </w:rPr>
      </w:pPr>
    </w:p>
    <w:tbl>
      <w:tblPr>
        <w:tblW w:w="0" w:type="auto"/>
        <w:tblInd w:w="6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314"/>
        <w:gridCol w:w="1432"/>
        <w:gridCol w:w="1569"/>
      </w:tblGrid>
      <w:tr w:rsidR="008F05D4" w14:paraId="0711646F" w14:textId="77777777">
        <w:trPr>
          <w:trHeight w:val="531"/>
        </w:trPr>
        <w:tc>
          <w:tcPr>
            <w:tcW w:w="6314" w:type="dxa"/>
            <w:tcBorders>
              <w:left w:val="single" w:sz="8" w:space="0" w:color="000000"/>
              <w:bottom w:val="single" w:sz="8" w:space="0" w:color="000000"/>
              <w:right w:val="single" w:sz="6" w:space="0" w:color="000000"/>
            </w:tcBorders>
            <w:shd w:val="clear" w:color="auto" w:fill="8DB3E2"/>
          </w:tcPr>
          <w:p w14:paraId="1735C27D" w14:textId="3DB87AA3" w:rsidR="008F05D4" w:rsidRDefault="00591031">
            <w:pPr>
              <w:pStyle w:val="TableParagraph"/>
              <w:ind w:left="107" w:right="1280"/>
              <w:rPr>
                <w:b/>
                <w:sz w:val="20"/>
              </w:rPr>
            </w:pPr>
            <w:r>
              <w:rPr>
                <w:b/>
                <w:sz w:val="20"/>
              </w:rPr>
              <w:t>FACILITIES AND ADMINISTRATIVE (F&amp;A) RATES FY19-FY2</w:t>
            </w:r>
            <w:r w:rsidR="00002282">
              <w:rPr>
                <w:b/>
                <w:sz w:val="20"/>
              </w:rPr>
              <w:t>3</w:t>
            </w:r>
          </w:p>
        </w:tc>
        <w:tc>
          <w:tcPr>
            <w:tcW w:w="1432" w:type="dxa"/>
            <w:tcBorders>
              <w:left w:val="single" w:sz="6" w:space="0" w:color="000000"/>
              <w:bottom w:val="single" w:sz="8" w:space="0" w:color="000000"/>
              <w:right w:val="single" w:sz="6" w:space="0" w:color="000000"/>
            </w:tcBorders>
            <w:shd w:val="clear" w:color="auto" w:fill="8DB3E2"/>
          </w:tcPr>
          <w:p w14:paraId="0472FFF8" w14:textId="77777777" w:rsidR="008F05D4" w:rsidRDefault="00591031">
            <w:pPr>
              <w:pStyle w:val="TableParagraph"/>
              <w:ind w:right="114"/>
              <w:jc w:val="right"/>
              <w:rPr>
                <w:b/>
                <w:sz w:val="20"/>
              </w:rPr>
            </w:pPr>
            <w:r>
              <w:rPr>
                <w:b/>
                <w:sz w:val="20"/>
              </w:rPr>
              <w:t>On-Campus</w:t>
            </w:r>
          </w:p>
        </w:tc>
        <w:tc>
          <w:tcPr>
            <w:tcW w:w="1569" w:type="dxa"/>
            <w:tcBorders>
              <w:left w:val="single" w:sz="6" w:space="0" w:color="000000"/>
              <w:bottom w:val="single" w:sz="8" w:space="0" w:color="000000"/>
              <w:right w:val="single" w:sz="8" w:space="0" w:color="000000"/>
            </w:tcBorders>
            <w:shd w:val="clear" w:color="auto" w:fill="8DB3E2"/>
          </w:tcPr>
          <w:p w14:paraId="4AD2764E" w14:textId="77777777" w:rsidR="008F05D4" w:rsidRDefault="00591031">
            <w:pPr>
              <w:pStyle w:val="TableParagraph"/>
              <w:ind w:left="190"/>
              <w:rPr>
                <w:b/>
                <w:sz w:val="20"/>
              </w:rPr>
            </w:pPr>
            <w:r>
              <w:rPr>
                <w:b/>
                <w:sz w:val="20"/>
              </w:rPr>
              <w:t>Off-Campus</w:t>
            </w:r>
          </w:p>
        </w:tc>
      </w:tr>
      <w:tr w:rsidR="008F05D4" w14:paraId="6F2A65FC" w14:textId="77777777">
        <w:trPr>
          <w:trHeight w:val="368"/>
        </w:trPr>
        <w:tc>
          <w:tcPr>
            <w:tcW w:w="6314" w:type="dxa"/>
            <w:tcBorders>
              <w:top w:val="single" w:sz="8" w:space="0" w:color="000000"/>
              <w:left w:val="single" w:sz="8" w:space="0" w:color="000000"/>
              <w:bottom w:val="single" w:sz="8" w:space="0" w:color="000000"/>
              <w:right w:val="single" w:sz="8" w:space="0" w:color="000000"/>
            </w:tcBorders>
          </w:tcPr>
          <w:p w14:paraId="41469E7C" w14:textId="6D2B4B79" w:rsidR="00285A33" w:rsidRDefault="00577B86" w:rsidP="00577B86">
            <w:pPr>
              <w:pStyle w:val="TableParagraph"/>
              <w:spacing w:before="1"/>
              <w:ind w:left="107"/>
              <w:rPr>
                <w:sz w:val="20"/>
              </w:rPr>
            </w:pPr>
            <w:r>
              <w:rPr>
                <w:sz w:val="20"/>
              </w:rPr>
              <w:t>All Sponsored Projects (Instruction, Research, Other Sponsored Activities)</w:t>
            </w:r>
          </w:p>
        </w:tc>
        <w:tc>
          <w:tcPr>
            <w:tcW w:w="1432" w:type="dxa"/>
            <w:tcBorders>
              <w:top w:val="single" w:sz="8" w:space="0" w:color="000000"/>
              <w:left w:val="single" w:sz="8" w:space="0" w:color="000000"/>
              <w:bottom w:val="single" w:sz="8" w:space="0" w:color="000000"/>
              <w:right w:val="single" w:sz="8" w:space="0" w:color="000000"/>
            </w:tcBorders>
          </w:tcPr>
          <w:p w14:paraId="4D3AE2AC" w14:textId="77777777" w:rsidR="008F05D4" w:rsidRDefault="00591031">
            <w:pPr>
              <w:pStyle w:val="TableParagraph"/>
              <w:spacing w:before="1"/>
              <w:ind w:right="87"/>
              <w:jc w:val="right"/>
              <w:rPr>
                <w:sz w:val="20"/>
              </w:rPr>
            </w:pPr>
            <w:r>
              <w:rPr>
                <w:sz w:val="20"/>
              </w:rPr>
              <w:t>38.6%</w:t>
            </w:r>
          </w:p>
        </w:tc>
        <w:tc>
          <w:tcPr>
            <w:tcW w:w="1569" w:type="dxa"/>
            <w:tcBorders>
              <w:top w:val="single" w:sz="8" w:space="0" w:color="000000"/>
              <w:left w:val="single" w:sz="8" w:space="0" w:color="000000"/>
              <w:bottom w:val="single" w:sz="8" w:space="0" w:color="000000"/>
              <w:right w:val="single" w:sz="8" w:space="0" w:color="000000"/>
            </w:tcBorders>
          </w:tcPr>
          <w:p w14:paraId="6716C257" w14:textId="77777777" w:rsidR="008F05D4" w:rsidRDefault="00591031">
            <w:pPr>
              <w:pStyle w:val="TableParagraph"/>
              <w:spacing w:before="1"/>
              <w:ind w:left="879"/>
              <w:rPr>
                <w:sz w:val="20"/>
              </w:rPr>
            </w:pPr>
            <w:r>
              <w:rPr>
                <w:sz w:val="20"/>
              </w:rPr>
              <w:t>16.6%</w:t>
            </w:r>
          </w:p>
        </w:tc>
      </w:tr>
    </w:tbl>
    <w:p w14:paraId="48976158" w14:textId="77777777" w:rsidR="008F05D4" w:rsidRDefault="00591031">
      <w:pPr>
        <w:spacing w:before="242" w:line="228" w:lineRule="auto"/>
        <w:ind w:left="599" w:right="516"/>
        <w:rPr>
          <w:i/>
          <w:sz w:val="21"/>
        </w:rPr>
      </w:pPr>
      <w:r>
        <w:rPr>
          <w:i/>
          <w:sz w:val="21"/>
        </w:rPr>
        <w:t>The</w:t>
      </w:r>
      <w:r>
        <w:rPr>
          <w:i/>
          <w:spacing w:val="-29"/>
          <w:sz w:val="21"/>
        </w:rPr>
        <w:t xml:space="preserve"> </w:t>
      </w:r>
      <w:r>
        <w:rPr>
          <w:i/>
          <w:sz w:val="21"/>
        </w:rPr>
        <w:t>base</w:t>
      </w:r>
      <w:r>
        <w:rPr>
          <w:i/>
          <w:spacing w:val="-29"/>
          <w:sz w:val="21"/>
        </w:rPr>
        <w:t xml:space="preserve"> </w:t>
      </w:r>
      <w:r>
        <w:rPr>
          <w:i/>
          <w:sz w:val="21"/>
        </w:rPr>
        <w:t>for</w:t>
      </w:r>
      <w:r>
        <w:rPr>
          <w:i/>
          <w:spacing w:val="-29"/>
          <w:sz w:val="21"/>
        </w:rPr>
        <w:t xml:space="preserve"> </w:t>
      </w:r>
      <w:r>
        <w:rPr>
          <w:i/>
          <w:sz w:val="21"/>
        </w:rPr>
        <w:t>the</w:t>
      </w:r>
      <w:r>
        <w:rPr>
          <w:i/>
          <w:spacing w:val="-27"/>
          <w:sz w:val="21"/>
        </w:rPr>
        <w:t xml:space="preserve"> </w:t>
      </w:r>
      <w:r>
        <w:rPr>
          <w:i/>
          <w:sz w:val="21"/>
        </w:rPr>
        <w:t>F&amp;A</w:t>
      </w:r>
      <w:r>
        <w:rPr>
          <w:i/>
          <w:spacing w:val="-28"/>
          <w:sz w:val="21"/>
        </w:rPr>
        <w:t xml:space="preserve"> </w:t>
      </w:r>
      <w:r>
        <w:rPr>
          <w:i/>
          <w:sz w:val="21"/>
        </w:rPr>
        <w:t>rates</w:t>
      </w:r>
      <w:r>
        <w:rPr>
          <w:i/>
          <w:spacing w:val="-29"/>
          <w:sz w:val="21"/>
        </w:rPr>
        <w:t xml:space="preserve"> </w:t>
      </w:r>
      <w:r>
        <w:rPr>
          <w:i/>
          <w:sz w:val="21"/>
        </w:rPr>
        <w:t>is</w:t>
      </w:r>
      <w:r>
        <w:rPr>
          <w:i/>
          <w:spacing w:val="-29"/>
          <w:sz w:val="21"/>
        </w:rPr>
        <w:t xml:space="preserve"> </w:t>
      </w:r>
      <w:r>
        <w:rPr>
          <w:i/>
          <w:sz w:val="21"/>
        </w:rPr>
        <w:t>Modified</w:t>
      </w:r>
      <w:r>
        <w:rPr>
          <w:i/>
          <w:spacing w:val="-27"/>
          <w:sz w:val="21"/>
        </w:rPr>
        <w:t xml:space="preserve"> </w:t>
      </w:r>
      <w:r>
        <w:rPr>
          <w:i/>
          <w:sz w:val="21"/>
        </w:rPr>
        <w:t>Total</w:t>
      </w:r>
      <w:r>
        <w:rPr>
          <w:i/>
          <w:spacing w:val="-28"/>
          <w:sz w:val="21"/>
        </w:rPr>
        <w:t xml:space="preserve"> </w:t>
      </w:r>
      <w:r>
        <w:rPr>
          <w:i/>
          <w:sz w:val="21"/>
        </w:rPr>
        <w:t>Direct</w:t>
      </w:r>
      <w:r>
        <w:rPr>
          <w:i/>
          <w:spacing w:val="-29"/>
          <w:sz w:val="21"/>
        </w:rPr>
        <w:t xml:space="preserve"> </w:t>
      </w:r>
      <w:r>
        <w:rPr>
          <w:i/>
          <w:sz w:val="21"/>
        </w:rPr>
        <w:t>Costs</w:t>
      </w:r>
      <w:r>
        <w:rPr>
          <w:i/>
          <w:spacing w:val="-29"/>
          <w:sz w:val="21"/>
        </w:rPr>
        <w:t xml:space="preserve"> </w:t>
      </w:r>
      <w:r>
        <w:rPr>
          <w:i/>
          <w:sz w:val="21"/>
        </w:rPr>
        <w:t>(MTDC).</w:t>
      </w:r>
      <w:r>
        <w:rPr>
          <w:i/>
          <w:spacing w:val="8"/>
          <w:sz w:val="21"/>
        </w:rPr>
        <w:t xml:space="preserve"> </w:t>
      </w:r>
      <w:r>
        <w:rPr>
          <w:i/>
          <w:sz w:val="21"/>
        </w:rPr>
        <w:t>See</w:t>
      </w:r>
      <w:r>
        <w:rPr>
          <w:i/>
          <w:spacing w:val="-28"/>
          <w:sz w:val="21"/>
        </w:rPr>
        <w:t xml:space="preserve"> </w:t>
      </w:r>
      <w:r>
        <w:rPr>
          <w:i/>
          <w:sz w:val="21"/>
        </w:rPr>
        <w:t>Facilities</w:t>
      </w:r>
      <w:r>
        <w:rPr>
          <w:i/>
          <w:spacing w:val="-30"/>
          <w:sz w:val="21"/>
        </w:rPr>
        <w:t xml:space="preserve"> </w:t>
      </w:r>
      <w:r>
        <w:rPr>
          <w:i/>
          <w:sz w:val="21"/>
        </w:rPr>
        <w:t>and</w:t>
      </w:r>
      <w:r>
        <w:rPr>
          <w:i/>
          <w:spacing w:val="-28"/>
          <w:sz w:val="21"/>
        </w:rPr>
        <w:t xml:space="preserve"> </w:t>
      </w:r>
      <w:r>
        <w:rPr>
          <w:i/>
          <w:sz w:val="21"/>
        </w:rPr>
        <w:t>Administrative</w:t>
      </w:r>
      <w:r>
        <w:rPr>
          <w:i/>
          <w:spacing w:val="-29"/>
          <w:sz w:val="21"/>
        </w:rPr>
        <w:t xml:space="preserve"> </w:t>
      </w:r>
      <w:r>
        <w:rPr>
          <w:i/>
          <w:sz w:val="21"/>
        </w:rPr>
        <w:t>Cost Rates</w:t>
      </w:r>
      <w:r>
        <w:rPr>
          <w:i/>
          <w:spacing w:val="-5"/>
          <w:sz w:val="21"/>
        </w:rPr>
        <w:t xml:space="preserve"> </w:t>
      </w:r>
      <w:r>
        <w:rPr>
          <w:i/>
          <w:sz w:val="21"/>
        </w:rPr>
        <w:t>below.</w:t>
      </w:r>
    </w:p>
    <w:p w14:paraId="727E3CEA" w14:textId="77777777" w:rsidR="008F05D4" w:rsidRDefault="008F05D4">
      <w:pPr>
        <w:pStyle w:val="BodyText"/>
        <w:spacing w:before="1"/>
        <w:rPr>
          <w:i/>
        </w:rPr>
      </w:pPr>
    </w:p>
    <w:p w14:paraId="6FF3D5F1" w14:textId="77777777" w:rsidR="008F05D4" w:rsidRDefault="00591031">
      <w:pPr>
        <w:pStyle w:val="Heading2"/>
        <w:ind w:left="600"/>
      </w:pPr>
      <w:r>
        <w:rPr>
          <w:color w:val="0070C0"/>
        </w:rPr>
        <w:t>FACILITIES AND ADMINISTRATIVE COST RATES</w:t>
      </w:r>
    </w:p>
    <w:p w14:paraId="78635EFB" w14:textId="77777777" w:rsidR="008F05D4" w:rsidRDefault="008F05D4">
      <w:pPr>
        <w:pStyle w:val="BodyText"/>
        <w:spacing w:before="12"/>
        <w:rPr>
          <w:b/>
          <w:sz w:val="19"/>
        </w:rPr>
      </w:pPr>
    </w:p>
    <w:p w14:paraId="173FBAB2" w14:textId="77777777" w:rsidR="008F05D4" w:rsidRDefault="00591031">
      <w:pPr>
        <w:pStyle w:val="BodyText"/>
        <w:ind w:left="600" w:right="516"/>
      </w:pPr>
      <w:r>
        <w:t>The University of Illinois at Springfield Facilities and Administrative (F&amp;A) Rates for FY2019-FY2022 have been approved by our cognizant Federal Agency, the Office of Naval Research.</w:t>
      </w:r>
    </w:p>
    <w:p w14:paraId="02EA0DB8" w14:textId="77777777" w:rsidR="008F05D4" w:rsidRDefault="008F05D4">
      <w:pPr>
        <w:pStyle w:val="BodyText"/>
      </w:pPr>
    </w:p>
    <w:p w14:paraId="681CF128" w14:textId="77777777" w:rsidR="008F05D4" w:rsidRDefault="00591031">
      <w:pPr>
        <w:pStyle w:val="BodyText"/>
        <w:ind w:left="600"/>
      </w:pPr>
      <w:r>
        <w:t>There are separate rates for on-campus and off-campus projects.</w:t>
      </w:r>
    </w:p>
    <w:p w14:paraId="395C76E8" w14:textId="77777777" w:rsidR="008F05D4" w:rsidRDefault="008F05D4">
      <w:pPr>
        <w:pStyle w:val="BodyText"/>
      </w:pPr>
    </w:p>
    <w:p w14:paraId="2B4A77ED" w14:textId="77777777" w:rsidR="008F05D4" w:rsidRDefault="00591031">
      <w:pPr>
        <w:pStyle w:val="Heading2"/>
        <w:spacing w:line="241" w:lineRule="exact"/>
      </w:pPr>
      <w:r>
        <w:rPr>
          <w:color w:val="0070C0"/>
        </w:rPr>
        <w:t>Modified Total Direct Cost (MTDC) Base</w:t>
      </w:r>
    </w:p>
    <w:p w14:paraId="62E78A2D" w14:textId="77777777" w:rsidR="008F05D4" w:rsidRPr="00EC2529" w:rsidRDefault="00591031">
      <w:pPr>
        <w:pStyle w:val="BodyText"/>
        <w:spacing w:line="236" w:lineRule="exact"/>
        <w:ind w:left="600"/>
      </w:pPr>
      <w:r w:rsidRPr="00EC2529">
        <w:t>The Modified Total Direct Cost base against which the facilities and administrative cost rate is assessed</w:t>
      </w:r>
    </w:p>
    <w:p w14:paraId="67ACBA56" w14:textId="77777777" w:rsidR="008F05D4" w:rsidRPr="00EC2529" w:rsidRDefault="00591031">
      <w:pPr>
        <w:spacing w:line="247" w:lineRule="exact"/>
        <w:ind w:left="600"/>
        <w:rPr>
          <w:sz w:val="20"/>
        </w:rPr>
      </w:pPr>
      <w:r w:rsidRPr="00EC2529">
        <w:rPr>
          <w:b/>
          <w:i/>
          <w:w w:val="90"/>
          <w:sz w:val="21"/>
        </w:rPr>
        <w:t>includes</w:t>
      </w:r>
      <w:r w:rsidRPr="00EC2529">
        <w:rPr>
          <w:w w:val="90"/>
          <w:sz w:val="20"/>
        </w:rPr>
        <w:t>:</w:t>
      </w:r>
    </w:p>
    <w:p w14:paraId="687554D9" w14:textId="77777777" w:rsidR="008F05D4" w:rsidRDefault="00591031">
      <w:pPr>
        <w:pStyle w:val="ListParagraph"/>
        <w:numPr>
          <w:ilvl w:val="0"/>
          <w:numId w:val="1"/>
        </w:numPr>
        <w:tabs>
          <w:tab w:val="left" w:pos="1319"/>
          <w:tab w:val="left" w:pos="1320"/>
        </w:tabs>
        <w:spacing w:line="241" w:lineRule="exact"/>
        <w:ind w:hanging="359"/>
        <w:rPr>
          <w:sz w:val="20"/>
        </w:rPr>
      </w:pPr>
      <w:r>
        <w:rPr>
          <w:sz w:val="20"/>
        </w:rPr>
        <w:t>salaries and</w:t>
      </w:r>
      <w:r>
        <w:rPr>
          <w:spacing w:val="-2"/>
          <w:sz w:val="20"/>
        </w:rPr>
        <w:t xml:space="preserve"> </w:t>
      </w:r>
      <w:r>
        <w:rPr>
          <w:sz w:val="20"/>
        </w:rPr>
        <w:t>wages</w:t>
      </w:r>
    </w:p>
    <w:p w14:paraId="78450057" w14:textId="77777777" w:rsidR="008F05D4" w:rsidRDefault="00591031">
      <w:pPr>
        <w:pStyle w:val="ListParagraph"/>
        <w:numPr>
          <w:ilvl w:val="0"/>
          <w:numId w:val="1"/>
        </w:numPr>
        <w:tabs>
          <w:tab w:val="left" w:pos="1319"/>
          <w:tab w:val="left" w:pos="1320"/>
        </w:tabs>
        <w:rPr>
          <w:sz w:val="20"/>
        </w:rPr>
      </w:pPr>
      <w:r>
        <w:rPr>
          <w:sz w:val="20"/>
        </w:rPr>
        <w:t>fringe</w:t>
      </w:r>
      <w:r>
        <w:rPr>
          <w:spacing w:val="-1"/>
          <w:sz w:val="20"/>
        </w:rPr>
        <w:t xml:space="preserve"> </w:t>
      </w:r>
      <w:r>
        <w:rPr>
          <w:sz w:val="20"/>
        </w:rPr>
        <w:t>benefits</w:t>
      </w:r>
    </w:p>
    <w:p w14:paraId="0A2AFEF2" w14:textId="77777777" w:rsidR="008F05D4" w:rsidRDefault="00591031">
      <w:pPr>
        <w:pStyle w:val="ListParagraph"/>
        <w:numPr>
          <w:ilvl w:val="0"/>
          <w:numId w:val="1"/>
        </w:numPr>
        <w:tabs>
          <w:tab w:val="left" w:pos="1319"/>
          <w:tab w:val="left" w:pos="1320"/>
        </w:tabs>
        <w:spacing w:line="241" w:lineRule="exact"/>
        <w:rPr>
          <w:sz w:val="20"/>
        </w:rPr>
      </w:pPr>
      <w:r>
        <w:rPr>
          <w:sz w:val="20"/>
        </w:rPr>
        <w:t>materials and</w:t>
      </w:r>
      <w:r>
        <w:rPr>
          <w:spacing w:val="-1"/>
          <w:sz w:val="20"/>
        </w:rPr>
        <w:t xml:space="preserve"> </w:t>
      </w:r>
      <w:r>
        <w:rPr>
          <w:sz w:val="20"/>
        </w:rPr>
        <w:t>supplies</w:t>
      </w:r>
    </w:p>
    <w:p w14:paraId="2E834EC6" w14:textId="77777777" w:rsidR="008F05D4" w:rsidRDefault="00591031">
      <w:pPr>
        <w:pStyle w:val="ListParagraph"/>
        <w:numPr>
          <w:ilvl w:val="0"/>
          <w:numId w:val="1"/>
        </w:numPr>
        <w:tabs>
          <w:tab w:val="left" w:pos="1319"/>
          <w:tab w:val="left" w:pos="1320"/>
        </w:tabs>
        <w:spacing w:line="241" w:lineRule="exact"/>
        <w:rPr>
          <w:sz w:val="20"/>
        </w:rPr>
      </w:pPr>
      <w:r>
        <w:rPr>
          <w:sz w:val="20"/>
        </w:rPr>
        <w:t>services</w:t>
      </w:r>
    </w:p>
    <w:p w14:paraId="7E71D8FE" w14:textId="77777777" w:rsidR="008F05D4" w:rsidRDefault="00591031">
      <w:pPr>
        <w:pStyle w:val="ListParagraph"/>
        <w:numPr>
          <w:ilvl w:val="0"/>
          <w:numId w:val="1"/>
        </w:numPr>
        <w:tabs>
          <w:tab w:val="left" w:pos="1319"/>
          <w:tab w:val="left" w:pos="1320"/>
        </w:tabs>
        <w:spacing w:line="241" w:lineRule="exact"/>
        <w:rPr>
          <w:sz w:val="20"/>
        </w:rPr>
      </w:pPr>
      <w:r>
        <w:rPr>
          <w:sz w:val="20"/>
        </w:rPr>
        <w:t>travel</w:t>
      </w:r>
    </w:p>
    <w:p w14:paraId="709E8B05" w14:textId="16C2F5FE" w:rsidR="008F05D4" w:rsidRDefault="00591031">
      <w:pPr>
        <w:pStyle w:val="ListParagraph"/>
        <w:numPr>
          <w:ilvl w:val="0"/>
          <w:numId w:val="1"/>
        </w:numPr>
        <w:tabs>
          <w:tab w:val="left" w:pos="1319"/>
          <w:tab w:val="left" w:pos="1320"/>
        </w:tabs>
        <w:ind w:right="855"/>
        <w:rPr>
          <w:sz w:val="20"/>
        </w:rPr>
      </w:pPr>
      <w:r>
        <w:rPr>
          <w:sz w:val="20"/>
        </w:rPr>
        <w:t>The first $25,000 of those subawards (subgrants or subcontracts) where a portion of the</w:t>
      </w:r>
      <w:r>
        <w:rPr>
          <w:spacing w:val="-34"/>
          <w:sz w:val="20"/>
        </w:rPr>
        <w:t xml:space="preserve"> </w:t>
      </w:r>
      <w:r>
        <w:rPr>
          <w:sz w:val="20"/>
        </w:rPr>
        <w:t>scope of work is subcontracted to a party external to the University (account codes 156000-156149)</w:t>
      </w:r>
      <w:r w:rsidR="00EC2529">
        <w:rPr>
          <w:sz w:val="20"/>
        </w:rPr>
        <w:t>.</w:t>
      </w:r>
      <w:r>
        <w:rPr>
          <w:sz w:val="20"/>
        </w:rPr>
        <w:t xml:space="preserve"> Note: A subaward for an amount greater than $25,000 would be assessed F&amp;A on the</w:t>
      </w:r>
      <w:r>
        <w:rPr>
          <w:spacing w:val="-23"/>
          <w:sz w:val="20"/>
        </w:rPr>
        <w:t xml:space="preserve"> </w:t>
      </w:r>
      <w:r>
        <w:rPr>
          <w:sz w:val="20"/>
        </w:rPr>
        <w:t>first</w:t>
      </w:r>
    </w:p>
    <w:p w14:paraId="0D483DAC" w14:textId="77777777" w:rsidR="008F05D4" w:rsidRDefault="00591031">
      <w:pPr>
        <w:pStyle w:val="BodyText"/>
        <w:spacing w:line="241" w:lineRule="exact"/>
        <w:ind w:left="1319"/>
      </w:pPr>
      <w:r>
        <w:t>$25,000 only over the lifetime of the award.</w:t>
      </w:r>
    </w:p>
    <w:p w14:paraId="2772B6E5" w14:textId="77777777" w:rsidR="008F05D4" w:rsidRDefault="00591031">
      <w:pPr>
        <w:spacing w:before="206" w:line="253" w:lineRule="exact"/>
        <w:ind w:left="600"/>
        <w:rPr>
          <w:sz w:val="20"/>
        </w:rPr>
      </w:pPr>
      <w:r>
        <w:rPr>
          <w:sz w:val="20"/>
        </w:rPr>
        <w:t xml:space="preserve">MTDC </w:t>
      </w:r>
      <w:r>
        <w:rPr>
          <w:b/>
          <w:i/>
          <w:sz w:val="21"/>
        </w:rPr>
        <w:t xml:space="preserve">excludes </w:t>
      </w:r>
      <w:r>
        <w:rPr>
          <w:sz w:val="20"/>
        </w:rPr>
        <w:t>the following direct costs:</w:t>
      </w:r>
    </w:p>
    <w:p w14:paraId="76DF26A3" w14:textId="77777777" w:rsidR="008F05D4" w:rsidRDefault="00591031">
      <w:pPr>
        <w:pStyle w:val="ListParagraph"/>
        <w:numPr>
          <w:ilvl w:val="0"/>
          <w:numId w:val="1"/>
        </w:numPr>
        <w:tabs>
          <w:tab w:val="left" w:pos="1319"/>
          <w:tab w:val="left" w:pos="1320"/>
        </w:tabs>
        <w:spacing w:before="2" w:line="237" w:lineRule="auto"/>
        <w:ind w:right="683" w:hanging="359"/>
        <w:rPr>
          <w:sz w:val="20"/>
        </w:rPr>
      </w:pPr>
      <w:r>
        <w:rPr>
          <w:sz w:val="20"/>
        </w:rPr>
        <w:t>Subaward expenditures in excess of $25,000 in 156000-156149 as well as all expenditures coded 156150-156200.</w:t>
      </w:r>
    </w:p>
    <w:p w14:paraId="69DA24F0" w14:textId="77777777" w:rsidR="008F05D4" w:rsidRDefault="00591031">
      <w:pPr>
        <w:pStyle w:val="ListParagraph"/>
        <w:numPr>
          <w:ilvl w:val="0"/>
          <w:numId w:val="1"/>
        </w:numPr>
        <w:tabs>
          <w:tab w:val="left" w:pos="1319"/>
          <w:tab w:val="left" w:pos="1320"/>
        </w:tabs>
        <w:spacing w:before="1"/>
        <w:ind w:right="871" w:hanging="359"/>
        <w:rPr>
          <w:sz w:val="20"/>
        </w:rPr>
      </w:pPr>
      <w:r>
        <w:rPr>
          <w:sz w:val="20"/>
        </w:rPr>
        <w:t>Fellowships, Scholarships, and Traineeships (allowable only on sponsored training agreements) coded</w:t>
      </w:r>
      <w:r>
        <w:rPr>
          <w:spacing w:val="-1"/>
          <w:sz w:val="20"/>
        </w:rPr>
        <w:t xml:space="preserve"> </w:t>
      </w:r>
      <w:r>
        <w:rPr>
          <w:sz w:val="20"/>
        </w:rPr>
        <w:t>181XXX.</w:t>
      </w:r>
    </w:p>
    <w:p w14:paraId="70C7F06A" w14:textId="77777777" w:rsidR="008F05D4" w:rsidRDefault="00591031">
      <w:pPr>
        <w:pStyle w:val="ListParagraph"/>
        <w:numPr>
          <w:ilvl w:val="0"/>
          <w:numId w:val="1"/>
        </w:numPr>
        <w:tabs>
          <w:tab w:val="left" w:pos="1319"/>
          <w:tab w:val="left" w:pos="1320"/>
        </w:tabs>
        <w:ind w:right="814" w:hanging="359"/>
        <w:rPr>
          <w:sz w:val="20"/>
        </w:rPr>
      </w:pPr>
      <w:r>
        <w:rPr>
          <w:sz w:val="20"/>
        </w:rPr>
        <w:t>Rentals and Leases. The cost of renting or leasing any property or equipment is to be budgeted in proposals and charged to account codes as</w:t>
      </w:r>
      <w:r>
        <w:rPr>
          <w:spacing w:val="-5"/>
          <w:sz w:val="20"/>
        </w:rPr>
        <w:t xml:space="preserve"> </w:t>
      </w:r>
      <w:r>
        <w:rPr>
          <w:sz w:val="20"/>
        </w:rPr>
        <w:t>follows:</w:t>
      </w:r>
    </w:p>
    <w:p w14:paraId="415EFB8F" w14:textId="77777777" w:rsidR="008F05D4" w:rsidRDefault="00591031">
      <w:pPr>
        <w:pStyle w:val="BodyText"/>
        <w:spacing w:line="240" w:lineRule="exact"/>
        <w:ind w:left="1319"/>
      </w:pPr>
      <w:r>
        <w:t>143XXX--Equipment Rentals</w:t>
      </w:r>
    </w:p>
    <w:p w14:paraId="73E569E6" w14:textId="77777777" w:rsidR="008F05D4" w:rsidRDefault="00591031">
      <w:pPr>
        <w:pStyle w:val="BodyText"/>
        <w:ind w:left="1319" w:right="5784"/>
      </w:pPr>
      <w:r>
        <w:t>157XXX and 158XXX--Operating Leases 169XXX--Capital Leases</w:t>
      </w:r>
    </w:p>
    <w:p w14:paraId="431C8B4D" w14:textId="77777777" w:rsidR="008F05D4" w:rsidRDefault="00591031">
      <w:pPr>
        <w:pStyle w:val="ListParagraph"/>
        <w:numPr>
          <w:ilvl w:val="0"/>
          <w:numId w:val="1"/>
        </w:numPr>
        <w:tabs>
          <w:tab w:val="left" w:pos="1319"/>
          <w:tab w:val="left" w:pos="1320"/>
        </w:tabs>
        <w:spacing w:line="242" w:lineRule="exact"/>
        <w:ind w:hanging="359"/>
        <w:rPr>
          <w:sz w:val="20"/>
        </w:rPr>
      </w:pPr>
      <w:r>
        <w:rPr>
          <w:sz w:val="20"/>
        </w:rPr>
        <w:t>Equipment (including lease purchased and fabricated equipment) costing $5,000 or</w:t>
      </w:r>
      <w:r>
        <w:rPr>
          <w:spacing w:val="-10"/>
          <w:sz w:val="20"/>
        </w:rPr>
        <w:t xml:space="preserve"> </w:t>
      </w:r>
      <w:r>
        <w:rPr>
          <w:sz w:val="20"/>
        </w:rPr>
        <w:t>more.</w:t>
      </w:r>
    </w:p>
    <w:p w14:paraId="3918CE6F" w14:textId="77777777" w:rsidR="008F05D4" w:rsidRDefault="00591031">
      <w:pPr>
        <w:pStyle w:val="ListParagraph"/>
        <w:numPr>
          <w:ilvl w:val="0"/>
          <w:numId w:val="1"/>
        </w:numPr>
        <w:tabs>
          <w:tab w:val="left" w:pos="1319"/>
          <w:tab w:val="left" w:pos="1320"/>
        </w:tabs>
        <w:spacing w:line="241" w:lineRule="exact"/>
        <w:ind w:hanging="359"/>
        <w:rPr>
          <w:sz w:val="20"/>
        </w:rPr>
      </w:pPr>
      <w:r>
        <w:rPr>
          <w:sz w:val="20"/>
        </w:rPr>
        <w:t>Any other expenditure recorded in an expense account code</w:t>
      </w:r>
      <w:r>
        <w:rPr>
          <w:spacing w:val="-7"/>
          <w:sz w:val="20"/>
        </w:rPr>
        <w:t xml:space="preserve"> </w:t>
      </w:r>
      <w:r>
        <w:rPr>
          <w:sz w:val="20"/>
        </w:rPr>
        <w:t>163XXX-199999.</w:t>
      </w:r>
    </w:p>
    <w:p w14:paraId="07B43A6A" w14:textId="77777777" w:rsidR="008F05D4" w:rsidRDefault="00591031">
      <w:pPr>
        <w:pStyle w:val="ListParagraph"/>
        <w:numPr>
          <w:ilvl w:val="0"/>
          <w:numId w:val="1"/>
        </w:numPr>
        <w:tabs>
          <w:tab w:val="left" w:pos="1319"/>
          <w:tab w:val="left" w:pos="1320"/>
        </w:tabs>
        <w:ind w:right="838"/>
        <w:rPr>
          <w:sz w:val="20"/>
        </w:rPr>
      </w:pPr>
      <w:r>
        <w:rPr>
          <w:sz w:val="20"/>
        </w:rPr>
        <w:t>Participant Support Costs (Stipends, subsistence allowances, travel allowances, and registration fees paid to or on behalf of participants or trainees (but not employees) in connection with conferences or training</w:t>
      </w:r>
      <w:r>
        <w:rPr>
          <w:spacing w:val="1"/>
          <w:sz w:val="20"/>
        </w:rPr>
        <w:t xml:space="preserve"> </w:t>
      </w:r>
      <w:r>
        <w:rPr>
          <w:sz w:val="20"/>
        </w:rPr>
        <w:t>projects.)</w:t>
      </w:r>
    </w:p>
    <w:p w14:paraId="2831AFED" w14:textId="77777777" w:rsidR="008F05D4" w:rsidRDefault="008F05D4">
      <w:pPr>
        <w:pStyle w:val="BodyText"/>
      </w:pPr>
    </w:p>
    <w:p w14:paraId="1536F283" w14:textId="633128E0" w:rsidR="008F05D4" w:rsidRDefault="00591031">
      <w:pPr>
        <w:pStyle w:val="Heading2"/>
        <w:spacing w:line="241" w:lineRule="exact"/>
      </w:pPr>
      <w:r>
        <w:rPr>
          <w:color w:val="0070C0"/>
        </w:rPr>
        <w:t>FY2</w:t>
      </w:r>
      <w:r w:rsidR="00BD5021">
        <w:rPr>
          <w:color w:val="0070C0"/>
        </w:rPr>
        <w:t>2</w:t>
      </w:r>
      <w:r>
        <w:rPr>
          <w:color w:val="0070C0"/>
        </w:rPr>
        <w:t xml:space="preserve"> TUIITION REMISSION RATES</w:t>
      </w:r>
    </w:p>
    <w:p w14:paraId="78025624" w14:textId="77777777" w:rsidR="008F05D4" w:rsidRDefault="00591031">
      <w:pPr>
        <w:pStyle w:val="BodyText"/>
        <w:spacing w:line="241" w:lineRule="exact"/>
        <w:ind w:left="599"/>
      </w:pPr>
      <w:r>
        <w:t>The University has elected not to charge tuition remission on sponsored projects.</w:t>
      </w:r>
    </w:p>
    <w:p w14:paraId="0CAF9905" w14:textId="77777777" w:rsidR="008F05D4" w:rsidRDefault="008F05D4">
      <w:pPr>
        <w:spacing w:line="241" w:lineRule="exact"/>
        <w:sectPr w:rsidR="008F05D4">
          <w:headerReference w:type="default" r:id="rId7"/>
          <w:footerReference w:type="default" r:id="rId8"/>
          <w:type w:val="continuous"/>
          <w:pgSz w:w="12240" w:h="15840"/>
          <w:pgMar w:top="1740" w:right="820" w:bottom="1700" w:left="840" w:header="1442" w:footer="1511" w:gutter="0"/>
          <w:pgNumType w:start="1"/>
          <w:cols w:space="720"/>
        </w:sectPr>
      </w:pPr>
    </w:p>
    <w:p w14:paraId="478E04B2" w14:textId="10B84E8A" w:rsidR="008F05D4" w:rsidRDefault="00591031">
      <w:pPr>
        <w:pStyle w:val="Heading1"/>
        <w:ind w:left="3230"/>
      </w:pPr>
      <w:r>
        <w:lastRenderedPageBreak/>
        <w:t>FY2</w:t>
      </w:r>
      <w:r w:rsidR="00BD5021">
        <w:t>2</w:t>
      </w:r>
      <w:r>
        <w:t xml:space="preserve"> Final Fringe Benefit Rates</w:t>
      </w:r>
    </w:p>
    <w:p w14:paraId="2E56FD21" w14:textId="77777777" w:rsidR="008F05D4" w:rsidRDefault="008F05D4">
      <w:pPr>
        <w:pStyle w:val="BodyText"/>
        <w:spacing w:before="10"/>
        <w:rPr>
          <w:b/>
          <w:sz w:val="25"/>
        </w:rPr>
      </w:pPr>
    </w:p>
    <w:tbl>
      <w:tblPr>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56"/>
        <w:gridCol w:w="1080"/>
        <w:gridCol w:w="953"/>
        <w:gridCol w:w="1169"/>
        <w:gridCol w:w="1747"/>
        <w:gridCol w:w="1442"/>
        <w:gridCol w:w="1344"/>
        <w:gridCol w:w="938"/>
      </w:tblGrid>
      <w:tr w:rsidR="008F05D4" w14:paraId="6DEFF354" w14:textId="77777777">
        <w:trPr>
          <w:trHeight w:val="291"/>
        </w:trPr>
        <w:tc>
          <w:tcPr>
            <w:tcW w:w="10329" w:type="dxa"/>
            <w:gridSpan w:val="8"/>
            <w:tcBorders>
              <w:left w:val="single" w:sz="8" w:space="0" w:color="000000"/>
              <w:bottom w:val="single" w:sz="8" w:space="0" w:color="000000"/>
              <w:right w:val="single" w:sz="8" w:space="0" w:color="000000"/>
            </w:tcBorders>
            <w:shd w:val="clear" w:color="auto" w:fill="8DB3E2"/>
          </w:tcPr>
          <w:p w14:paraId="5A399402" w14:textId="77777777" w:rsidR="008F05D4" w:rsidRDefault="00591031">
            <w:pPr>
              <w:pStyle w:val="TableParagraph"/>
              <w:spacing w:before="1" w:line="270" w:lineRule="exact"/>
              <w:ind w:left="3687" w:right="3666"/>
              <w:jc w:val="center"/>
              <w:rPr>
                <w:b/>
                <w:sz w:val="24"/>
              </w:rPr>
            </w:pPr>
            <w:r>
              <w:rPr>
                <w:b/>
                <w:sz w:val="24"/>
              </w:rPr>
              <w:t>FRINGE BENEFIT RATES</w:t>
            </w:r>
          </w:p>
        </w:tc>
      </w:tr>
      <w:tr w:rsidR="008F05D4" w14:paraId="5CBC2352" w14:textId="77777777">
        <w:trPr>
          <w:trHeight w:val="815"/>
        </w:trPr>
        <w:tc>
          <w:tcPr>
            <w:tcW w:w="1656" w:type="dxa"/>
            <w:tcBorders>
              <w:top w:val="single" w:sz="8" w:space="0" w:color="000000"/>
              <w:left w:val="single" w:sz="8" w:space="0" w:color="000000"/>
              <w:bottom w:val="single" w:sz="8" w:space="0" w:color="000000"/>
              <w:right w:val="single" w:sz="8" w:space="0" w:color="000000"/>
            </w:tcBorders>
            <w:shd w:val="clear" w:color="auto" w:fill="C6D9F1"/>
          </w:tcPr>
          <w:p w14:paraId="2956DF38" w14:textId="77777777" w:rsidR="008F05D4" w:rsidRDefault="008F05D4">
            <w:pPr>
              <w:pStyle w:val="TableParagraph"/>
              <w:spacing w:before="4"/>
              <w:rPr>
                <w:b/>
                <w:sz w:val="28"/>
              </w:rPr>
            </w:pPr>
          </w:p>
          <w:p w14:paraId="04BE2B02" w14:textId="77777777" w:rsidR="008F05D4" w:rsidRDefault="00591031">
            <w:pPr>
              <w:pStyle w:val="TableParagraph"/>
              <w:spacing w:before="1" w:line="240" w:lineRule="exact"/>
              <w:ind w:left="520" w:right="88" w:hanging="180"/>
              <w:rPr>
                <w:b/>
                <w:sz w:val="20"/>
              </w:rPr>
            </w:pPr>
            <w:r>
              <w:rPr>
                <w:b/>
                <w:w w:val="95"/>
                <w:sz w:val="20"/>
              </w:rPr>
              <w:t xml:space="preserve">Employee </w:t>
            </w:r>
            <w:r>
              <w:rPr>
                <w:b/>
                <w:sz w:val="20"/>
              </w:rPr>
              <w:t>Group</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Pr>
          <w:p w14:paraId="0E84A008" w14:textId="77777777" w:rsidR="008F05D4" w:rsidRDefault="00591031">
            <w:pPr>
              <w:pStyle w:val="TableParagraph"/>
              <w:spacing w:before="92"/>
              <w:ind w:left="174" w:firstLine="108"/>
              <w:rPr>
                <w:b/>
                <w:sz w:val="20"/>
              </w:rPr>
            </w:pPr>
            <w:r>
              <w:rPr>
                <w:b/>
                <w:sz w:val="20"/>
              </w:rPr>
              <w:t>Total</w:t>
            </w:r>
          </w:p>
          <w:p w14:paraId="10FBFE25" w14:textId="77777777" w:rsidR="008F05D4" w:rsidRDefault="00591031">
            <w:pPr>
              <w:pStyle w:val="TableParagraph"/>
              <w:spacing w:before="9" w:line="240" w:lineRule="exact"/>
              <w:ind w:left="174" w:right="163"/>
              <w:jc w:val="center"/>
              <w:rPr>
                <w:b/>
                <w:sz w:val="20"/>
              </w:rPr>
            </w:pPr>
            <w:r>
              <w:rPr>
                <w:b/>
                <w:w w:val="95"/>
                <w:sz w:val="20"/>
              </w:rPr>
              <w:t xml:space="preserve">Benefit </w:t>
            </w:r>
            <w:r>
              <w:rPr>
                <w:b/>
                <w:sz w:val="20"/>
              </w:rPr>
              <w:t>Rate</w:t>
            </w:r>
          </w:p>
        </w:tc>
        <w:tc>
          <w:tcPr>
            <w:tcW w:w="953" w:type="dxa"/>
            <w:tcBorders>
              <w:top w:val="single" w:sz="8" w:space="0" w:color="000000"/>
              <w:left w:val="single" w:sz="8" w:space="0" w:color="000000"/>
              <w:bottom w:val="single" w:sz="8" w:space="0" w:color="000000"/>
              <w:right w:val="single" w:sz="8" w:space="0" w:color="000000"/>
            </w:tcBorders>
            <w:shd w:val="clear" w:color="auto" w:fill="C6D9F1"/>
          </w:tcPr>
          <w:p w14:paraId="2E517D80" w14:textId="77777777" w:rsidR="008F05D4" w:rsidRDefault="008F05D4">
            <w:pPr>
              <w:pStyle w:val="TableParagraph"/>
              <w:spacing w:before="4"/>
              <w:rPr>
                <w:b/>
                <w:sz w:val="28"/>
              </w:rPr>
            </w:pPr>
          </w:p>
          <w:p w14:paraId="074869DA" w14:textId="77777777" w:rsidR="008F05D4" w:rsidRDefault="00591031">
            <w:pPr>
              <w:pStyle w:val="TableParagraph"/>
              <w:spacing w:before="1" w:line="240" w:lineRule="exact"/>
              <w:ind w:left="172" w:right="137" w:hanging="5"/>
              <w:rPr>
                <w:b/>
                <w:sz w:val="13"/>
              </w:rPr>
            </w:pPr>
            <w:r>
              <w:rPr>
                <w:b/>
                <w:w w:val="95"/>
                <w:sz w:val="20"/>
              </w:rPr>
              <w:t xml:space="preserve">Retire </w:t>
            </w:r>
            <w:r>
              <w:rPr>
                <w:b/>
                <w:sz w:val="20"/>
              </w:rPr>
              <w:t>ment</w:t>
            </w:r>
            <w:r>
              <w:rPr>
                <w:b/>
                <w:position w:val="7"/>
                <w:sz w:val="13"/>
              </w:rPr>
              <w:t>1</w:t>
            </w:r>
          </w:p>
        </w:tc>
        <w:tc>
          <w:tcPr>
            <w:tcW w:w="1169" w:type="dxa"/>
            <w:tcBorders>
              <w:top w:val="single" w:sz="8" w:space="0" w:color="000000"/>
              <w:left w:val="single" w:sz="8" w:space="0" w:color="000000"/>
              <w:bottom w:val="single" w:sz="8" w:space="0" w:color="000000"/>
              <w:right w:val="single" w:sz="8" w:space="0" w:color="000000"/>
            </w:tcBorders>
            <w:shd w:val="clear" w:color="auto" w:fill="C6D9F1"/>
          </w:tcPr>
          <w:p w14:paraId="00117537" w14:textId="77777777" w:rsidR="008F05D4" w:rsidRDefault="00591031">
            <w:pPr>
              <w:pStyle w:val="TableParagraph"/>
              <w:spacing w:before="92"/>
              <w:ind w:left="366" w:hanging="147"/>
              <w:rPr>
                <w:b/>
                <w:sz w:val="20"/>
              </w:rPr>
            </w:pPr>
            <w:r>
              <w:rPr>
                <w:b/>
                <w:sz w:val="20"/>
              </w:rPr>
              <w:t>Health,</w:t>
            </w:r>
          </w:p>
          <w:p w14:paraId="38CA681E" w14:textId="77777777" w:rsidR="008F05D4" w:rsidRDefault="00591031">
            <w:pPr>
              <w:pStyle w:val="TableParagraph"/>
              <w:spacing w:before="9" w:line="240" w:lineRule="exact"/>
              <w:ind w:left="251" w:right="235" w:firstLine="2"/>
              <w:jc w:val="center"/>
              <w:rPr>
                <w:b/>
                <w:sz w:val="20"/>
              </w:rPr>
            </w:pPr>
            <w:r>
              <w:rPr>
                <w:b/>
                <w:sz w:val="20"/>
              </w:rPr>
              <w:t xml:space="preserve">Life, </w:t>
            </w:r>
            <w:r>
              <w:rPr>
                <w:b/>
                <w:w w:val="95"/>
                <w:sz w:val="20"/>
              </w:rPr>
              <w:t>Dental</w:t>
            </w:r>
          </w:p>
        </w:tc>
        <w:tc>
          <w:tcPr>
            <w:tcW w:w="1747" w:type="dxa"/>
            <w:tcBorders>
              <w:top w:val="single" w:sz="8" w:space="0" w:color="000000"/>
              <w:left w:val="single" w:sz="8" w:space="0" w:color="000000"/>
              <w:bottom w:val="single" w:sz="8" w:space="0" w:color="000000"/>
              <w:right w:val="single" w:sz="8" w:space="0" w:color="000000"/>
            </w:tcBorders>
            <w:shd w:val="clear" w:color="auto" w:fill="C6D9F1"/>
          </w:tcPr>
          <w:p w14:paraId="48091606" w14:textId="77777777" w:rsidR="008F05D4" w:rsidRDefault="008F05D4">
            <w:pPr>
              <w:pStyle w:val="TableParagraph"/>
              <w:spacing w:before="4"/>
              <w:rPr>
                <w:b/>
                <w:sz w:val="28"/>
              </w:rPr>
            </w:pPr>
          </w:p>
          <w:p w14:paraId="1F9EC477" w14:textId="77777777" w:rsidR="008F05D4" w:rsidRDefault="00591031">
            <w:pPr>
              <w:pStyle w:val="TableParagraph"/>
              <w:spacing w:before="1" w:line="240" w:lineRule="exact"/>
              <w:ind w:left="152" w:firstLine="271"/>
              <w:rPr>
                <w:b/>
                <w:sz w:val="20"/>
              </w:rPr>
            </w:pPr>
            <w:r>
              <w:rPr>
                <w:b/>
                <w:sz w:val="20"/>
              </w:rPr>
              <w:t xml:space="preserve">Workers’ </w:t>
            </w:r>
            <w:r>
              <w:rPr>
                <w:b/>
                <w:w w:val="95"/>
                <w:sz w:val="20"/>
              </w:rPr>
              <w:t>Compensation</w:t>
            </w:r>
          </w:p>
        </w:tc>
        <w:tc>
          <w:tcPr>
            <w:tcW w:w="1442" w:type="dxa"/>
            <w:tcBorders>
              <w:top w:val="single" w:sz="8" w:space="0" w:color="000000"/>
              <w:left w:val="single" w:sz="8" w:space="0" w:color="000000"/>
              <w:bottom w:val="single" w:sz="8" w:space="0" w:color="000000"/>
              <w:right w:val="single" w:sz="8" w:space="0" w:color="000000"/>
            </w:tcBorders>
            <w:shd w:val="clear" w:color="auto" w:fill="C6D9F1"/>
          </w:tcPr>
          <w:p w14:paraId="28E3CC5E" w14:textId="77777777" w:rsidR="008F05D4" w:rsidRDefault="008F05D4">
            <w:pPr>
              <w:pStyle w:val="TableParagraph"/>
              <w:rPr>
                <w:b/>
                <w:sz w:val="24"/>
              </w:rPr>
            </w:pPr>
          </w:p>
          <w:p w14:paraId="46240266" w14:textId="77777777" w:rsidR="008F05D4" w:rsidRDefault="008F05D4">
            <w:pPr>
              <w:pStyle w:val="TableParagraph"/>
              <w:spacing w:before="7"/>
              <w:rPr>
                <w:b/>
                <w:sz w:val="23"/>
              </w:rPr>
            </w:pPr>
          </w:p>
          <w:p w14:paraId="6E7CCB22" w14:textId="77777777" w:rsidR="008F05D4" w:rsidRDefault="00591031">
            <w:pPr>
              <w:pStyle w:val="TableParagraph"/>
              <w:spacing w:line="220" w:lineRule="exact"/>
              <w:ind w:left="88" w:right="72"/>
              <w:jc w:val="center"/>
              <w:rPr>
                <w:b/>
                <w:sz w:val="20"/>
              </w:rPr>
            </w:pPr>
            <w:r>
              <w:rPr>
                <w:b/>
                <w:sz w:val="20"/>
              </w:rPr>
              <w:t>Termination</w:t>
            </w:r>
          </w:p>
        </w:tc>
        <w:tc>
          <w:tcPr>
            <w:tcW w:w="1344" w:type="dxa"/>
            <w:tcBorders>
              <w:top w:val="single" w:sz="8" w:space="0" w:color="000000"/>
              <w:left w:val="single" w:sz="8" w:space="0" w:color="000000"/>
              <w:bottom w:val="single" w:sz="8" w:space="0" w:color="000000"/>
              <w:right w:val="single" w:sz="8" w:space="0" w:color="000000"/>
            </w:tcBorders>
            <w:shd w:val="clear" w:color="auto" w:fill="C6D9F1"/>
          </w:tcPr>
          <w:p w14:paraId="4489CD83" w14:textId="77777777" w:rsidR="008F05D4" w:rsidRDefault="008F05D4">
            <w:pPr>
              <w:pStyle w:val="TableParagraph"/>
              <w:rPr>
                <w:b/>
                <w:sz w:val="24"/>
              </w:rPr>
            </w:pPr>
          </w:p>
          <w:p w14:paraId="759E05A9" w14:textId="77777777" w:rsidR="008F05D4" w:rsidRDefault="008F05D4">
            <w:pPr>
              <w:pStyle w:val="TableParagraph"/>
              <w:spacing w:before="7"/>
              <w:rPr>
                <w:b/>
                <w:sz w:val="23"/>
              </w:rPr>
            </w:pPr>
          </w:p>
          <w:p w14:paraId="4A4C13E3" w14:textId="77777777" w:rsidR="008F05D4" w:rsidRDefault="00591031">
            <w:pPr>
              <w:pStyle w:val="TableParagraph"/>
              <w:spacing w:line="220" w:lineRule="exact"/>
              <w:ind w:left="89" w:right="74"/>
              <w:jc w:val="center"/>
              <w:rPr>
                <w:b/>
                <w:sz w:val="13"/>
              </w:rPr>
            </w:pPr>
            <w:r>
              <w:rPr>
                <w:b/>
                <w:sz w:val="20"/>
              </w:rPr>
              <w:t>Medicare</w:t>
            </w:r>
            <w:r>
              <w:rPr>
                <w:b/>
                <w:position w:val="7"/>
                <w:sz w:val="13"/>
              </w:rPr>
              <w:t>2,3</w:t>
            </w:r>
          </w:p>
        </w:tc>
        <w:tc>
          <w:tcPr>
            <w:tcW w:w="938" w:type="dxa"/>
            <w:tcBorders>
              <w:top w:val="single" w:sz="8" w:space="0" w:color="000000"/>
              <w:left w:val="single" w:sz="8" w:space="0" w:color="000000"/>
              <w:bottom w:val="single" w:sz="8" w:space="0" w:color="000000"/>
              <w:right w:val="single" w:sz="8" w:space="0" w:color="000000"/>
            </w:tcBorders>
            <w:shd w:val="clear" w:color="auto" w:fill="C6D9F1"/>
          </w:tcPr>
          <w:p w14:paraId="63A3D017" w14:textId="77777777" w:rsidR="008F05D4" w:rsidRDefault="008F05D4">
            <w:pPr>
              <w:pStyle w:val="TableParagraph"/>
              <w:rPr>
                <w:b/>
                <w:sz w:val="24"/>
              </w:rPr>
            </w:pPr>
          </w:p>
          <w:p w14:paraId="1E730063" w14:textId="77777777" w:rsidR="008F05D4" w:rsidRDefault="008F05D4">
            <w:pPr>
              <w:pStyle w:val="TableParagraph"/>
              <w:spacing w:before="7"/>
              <w:rPr>
                <w:b/>
                <w:sz w:val="23"/>
              </w:rPr>
            </w:pPr>
          </w:p>
          <w:p w14:paraId="3CE29D5F" w14:textId="77777777" w:rsidR="008F05D4" w:rsidRDefault="00591031">
            <w:pPr>
              <w:pStyle w:val="TableParagraph"/>
              <w:spacing w:line="220" w:lineRule="exact"/>
              <w:ind w:left="116" w:right="96"/>
              <w:jc w:val="center"/>
              <w:rPr>
                <w:b/>
                <w:sz w:val="20"/>
              </w:rPr>
            </w:pPr>
            <w:r>
              <w:rPr>
                <w:b/>
                <w:sz w:val="20"/>
              </w:rPr>
              <w:t>OASDI</w:t>
            </w:r>
          </w:p>
        </w:tc>
      </w:tr>
      <w:tr w:rsidR="008F05D4" w14:paraId="126A0FCE" w14:textId="77777777">
        <w:trPr>
          <w:trHeight w:val="1200"/>
        </w:trPr>
        <w:tc>
          <w:tcPr>
            <w:tcW w:w="1656" w:type="dxa"/>
            <w:tcBorders>
              <w:top w:val="single" w:sz="8" w:space="0" w:color="000000"/>
              <w:left w:val="single" w:sz="8" w:space="0" w:color="000000"/>
              <w:bottom w:val="single" w:sz="8" w:space="0" w:color="000000"/>
              <w:right w:val="single" w:sz="8" w:space="0" w:color="000000"/>
            </w:tcBorders>
          </w:tcPr>
          <w:p w14:paraId="38A3EA83" w14:textId="77777777" w:rsidR="008F05D4" w:rsidRDefault="00591031">
            <w:pPr>
              <w:pStyle w:val="TableParagraph"/>
              <w:ind w:left="107" w:right="88"/>
              <w:rPr>
                <w:sz w:val="20"/>
              </w:rPr>
            </w:pPr>
            <w:r>
              <w:rPr>
                <w:sz w:val="20"/>
              </w:rPr>
              <w:t>Employees Covered by the State</w:t>
            </w:r>
            <w:r>
              <w:rPr>
                <w:spacing w:val="10"/>
                <w:sz w:val="20"/>
              </w:rPr>
              <w:t xml:space="preserve"> </w:t>
            </w:r>
            <w:r>
              <w:rPr>
                <w:spacing w:val="-3"/>
                <w:sz w:val="20"/>
              </w:rPr>
              <w:t>University</w:t>
            </w:r>
          </w:p>
          <w:p w14:paraId="036888BF" w14:textId="77777777" w:rsidR="008F05D4" w:rsidRDefault="00591031">
            <w:pPr>
              <w:pStyle w:val="TableParagraph"/>
              <w:spacing w:line="242" w:lineRule="exact"/>
              <w:ind w:left="107" w:right="185"/>
              <w:rPr>
                <w:sz w:val="20"/>
              </w:rPr>
            </w:pPr>
            <w:r>
              <w:rPr>
                <w:sz w:val="20"/>
              </w:rPr>
              <w:t>Retirement System</w:t>
            </w:r>
            <w:r>
              <w:rPr>
                <w:spacing w:val="-11"/>
                <w:sz w:val="20"/>
              </w:rPr>
              <w:t xml:space="preserve"> </w:t>
            </w:r>
            <w:r>
              <w:rPr>
                <w:sz w:val="20"/>
              </w:rPr>
              <w:t>(SURS)</w:t>
            </w:r>
          </w:p>
        </w:tc>
        <w:tc>
          <w:tcPr>
            <w:tcW w:w="1080" w:type="dxa"/>
            <w:tcBorders>
              <w:top w:val="single" w:sz="8" w:space="0" w:color="000000"/>
              <w:left w:val="single" w:sz="8" w:space="0" w:color="000000"/>
              <w:bottom w:val="single" w:sz="8" w:space="0" w:color="000000"/>
              <w:right w:val="single" w:sz="8" w:space="0" w:color="000000"/>
            </w:tcBorders>
            <w:shd w:val="clear" w:color="auto" w:fill="C2D69B"/>
          </w:tcPr>
          <w:p w14:paraId="5C52C31A" w14:textId="77777777" w:rsidR="008F05D4" w:rsidRDefault="008F05D4">
            <w:pPr>
              <w:pStyle w:val="TableParagraph"/>
              <w:rPr>
                <w:b/>
                <w:sz w:val="24"/>
              </w:rPr>
            </w:pPr>
          </w:p>
          <w:p w14:paraId="6E13B3BB" w14:textId="381D79F2" w:rsidR="008F05D4" w:rsidRDefault="00BD5021">
            <w:pPr>
              <w:pStyle w:val="TableParagraph"/>
              <w:spacing w:before="188"/>
              <w:ind w:right="116"/>
              <w:jc w:val="right"/>
              <w:rPr>
                <w:b/>
                <w:sz w:val="20"/>
              </w:rPr>
            </w:pPr>
            <w:r>
              <w:rPr>
                <w:b/>
                <w:w w:val="95"/>
                <w:sz w:val="20"/>
              </w:rPr>
              <w:t>40.</w:t>
            </w:r>
            <w:r w:rsidR="00C9335A">
              <w:rPr>
                <w:b/>
                <w:w w:val="95"/>
                <w:sz w:val="20"/>
              </w:rPr>
              <w:t>37</w:t>
            </w:r>
            <w:r w:rsidR="00591031">
              <w:rPr>
                <w:b/>
                <w:w w:val="95"/>
                <w:sz w:val="20"/>
              </w:rPr>
              <w:t>%</w:t>
            </w:r>
          </w:p>
        </w:tc>
        <w:tc>
          <w:tcPr>
            <w:tcW w:w="953" w:type="dxa"/>
            <w:tcBorders>
              <w:top w:val="single" w:sz="8" w:space="0" w:color="000000"/>
              <w:left w:val="single" w:sz="8" w:space="0" w:color="000000"/>
              <w:bottom w:val="single" w:sz="8" w:space="0" w:color="000000"/>
              <w:right w:val="single" w:sz="8" w:space="0" w:color="000000"/>
            </w:tcBorders>
          </w:tcPr>
          <w:p w14:paraId="04E2ED5F" w14:textId="77777777" w:rsidR="008F05D4" w:rsidRDefault="008F05D4">
            <w:pPr>
              <w:pStyle w:val="TableParagraph"/>
              <w:rPr>
                <w:b/>
                <w:sz w:val="24"/>
              </w:rPr>
            </w:pPr>
          </w:p>
          <w:p w14:paraId="10B9004D" w14:textId="1CF1296D" w:rsidR="008F05D4" w:rsidRDefault="00B95CB4" w:rsidP="00591031">
            <w:pPr>
              <w:pStyle w:val="TableParagraph"/>
              <w:spacing w:before="188"/>
              <w:ind w:left="126"/>
              <w:rPr>
                <w:sz w:val="20"/>
              </w:rPr>
            </w:pPr>
            <w:r>
              <w:rPr>
                <w:sz w:val="20"/>
              </w:rPr>
              <w:t>12.</w:t>
            </w:r>
            <w:r w:rsidR="00BD5021">
              <w:rPr>
                <w:sz w:val="20"/>
              </w:rPr>
              <w:t>32</w:t>
            </w:r>
            <w:r w:rsidR="00591031">
              <w:rPr>
                <w:sz w:val="20"/>
              </w:rPr>
              <w:t>%</w:t>
            </w:r>
          </w:p>
        </w:tc>
        <w:tc>
          <w:tcPr>
            <w:tcW w:w="1169" w:type="dxa"/>
            <w:tcBorders>
              <w:top w:val="single" w:sz="8" w:space="0" w:color="000000"/>
              <w:left w:val="single" w:sz="8" w:space="0" w:color="000000"/>
              <w:bottom w:val="single" w:sz="8" w:space="0" w:color="000000"/>
              <w:right w:val="single" w:sz="8" w:space="0" w:color="000000"/>
            </w:tcBorders>
          </w:tcPr>
          <w:p w14:paraId="244D3296" w14:textId="77777777" w:rsidR="008F05D4" w:rsidRDefault="008F05D4">
            <w:pPr>
              <w:pStyle w:val="TableParagraph"/>
              <w:rPr>
                <w:b/>
                <w:sz w:val="24"/>
              </w:rPr>
            </w:pPr>
          </w:p>
          <w:p w14:paraId="409A6934" w14:textId="30C8D604" w:rsidR="008F05D4" w:rsidRDefault="00BD5021">
            <w:pPr>
              <w:pStyle w:val="TableParagraph"/>
              <w:spacing w:before="188"/>
              <w:ind w:left="236"/>
              <w:rPr>
                <w:sz w:val="20"/>
              </w:rPr>
            </w:pPr>
            <w:r>
              <w:rPr>
                <w:sz w:val="20"/>
              </w:rPr>
              <w:t>25.46</w:t>
            </w:r>
            <w:r w:rsidR="00591031">
              <w:rPr>
                <w:sz w:val="20"/>
              </w:rPr>
              <w:t>%</w:t>
            </w:r>
          </w:p>
        </w:tc>
        <w:tc>
          <w:tcPr>
            <w:tcW w:w="1747" w:type="dxa"/>
            <w:tcBorders>
              <w:top w:val="single" w:sz="8" w:space="0" w:color="000000"/>
              <w:left w:val="single" w:sz="8" w:space="0" w:color="000000"/>
              <w:bottom w:val="single" w:sz="8" w:space="0" w:color="000000"/>
              <w:right w:val="single" w:sz="8" w:space="0" w:color="000000"/>
            </w:tcBorders>
          </w:tcPr>
          <w:p w14:paraId="7EC2B904" w14:textId="77777777" w:rsidR="008F05D4" w:rsidRDefault="008F05D4">
            <w:pPr>
              <w:pStyle w:val="TableParagraph"/>
              <w:rPr>
                <w:b/>
                <w:sz w:val="24"/>
              </w:rPr>
            </w:pPr>
          </w:p>
          <w:p w14:paraId="0F40D973" w14:textId="77777777" w:rsidR="008F05D4" w:rsidRDefault="00591031" w:rsidP="00B95CB4">
            <w:pPr>
              <w:pStyle w:val="TableParagraph"/>
              <w:spacing w:before="188"/>
              <w:ind w:left="557" w:right="544"/>
              <w:jc w:val="center"/>
              <w:rPr>
                <w:sz w:val="20"/>
              </w:rPr>
            </w:pPr>
            <w:r>
              <w:rPr>
                <w:sz w:val="20"/>
              </w:rPr>
              <w:t>0.0</w:t>
            </w:r>
            <w:r w:rsidR="00B95CB4">
              <w:rPr>
                <w:sz w:val="20"/>
              </w:rPr>
              <w:t>1</w:t>
            </w:r>
            <w:r>
              <w:rPr>
                <w:sz w:val="20"/>
              </w:rPr>
              <w:t>%</w:t>
            </w:r>
          </w:p>
        </w:tc>
        <w:tc>
          <w:tcPr>
            <w:tcW w:w="1442" w:type="dxa"/>
            <w:tcBorders>
              <w:top w:val="single" w:sz="8" w:space="0" w:color="000000"/>
              <w:left w:val="single" w:sz="8" w:space="0" w:color="000000"/>
              <w:bottom w:val="single" w:sz="8" w:space="0" w:color="000000"/>
              <w:right w:val="single" w:sz="8" w:space="0" w:color="000000"/>
            </w:tcBorders>
          </w:tcPr>
          <w:p w14:paraId="45E2C228" w14:textId="77777777" w:rsidR="008F05D4" w:rsidRDefault="008F05D4">
            <w:pPr>
              <w:pStyle w:val="TableParagraph"/>
              <w:rPr>
                <w:b/>
                <w:sz w:val="24"/>
              </w:rPr>
            </w:pPr>
          </w:p>
          <w:p w14:paraId="273F46E8" w14:textId="75E1D706" w:rsidR="008F05D4" w:rsidRDefault="00BD5021" w:rsidP="00B95CB4">
            <w:pPr>
              <w:pStyle w:val="TableParagraph"/>
              <w:spacing w:before="188"/>
              <w:ind w:left="88" w:right="72"/>
              <w:jc w:val="center"/>
              <w:rPr>
                <w:sz w:val="20"/>
              </w:rPr>
            </w:pPr>
            <w:r>
              <w:rPr>
                <w:sz w:val="20"/>
              </w:rPr>
              <w:t>1.</w:t>
            </w:r>
            <w:r w:rsidR="00C9335A">
              <w:rPr>
                <w:sz w:val="20"/>
              </w:rPr>
              <w:t>13</w:t>
            </w:r>
            <w:r w:rsidR="00591031">
              <w:rPr>
                <w:sz w:val="20"/>
              </w:rPr>
              <w:t>%</w:t>
            </w:r>
          </w:p>
        </w:tc>
        <w:tc>
          <w:tcPr>
            <w:tcW w:w="1344" w:type="dxa"/>
            <w:tcBorders>
              <w:top w:val="single" w:sz="8" w:space="0" w:color="000000"/>
              <w:left w:val="single" w:sz="8" w:space="0" w:color="000000"/>
              <w:bottom w:val="single" w:sz="8" w:space="0" w:color="000000"/>
              <w:right w:val="single" w:sz="8" w:space="0" w:color="000000"/>
            </w:tcBorders>
          </w:tcPr>
          <w:p w14:paraId="41900BF8" w14:textId="77777777" w:rsidR="008F05D4" w:rsidRDefault="008F05D4">
            <w:pPr>
              <w:pStyle w:val="TableParagraph"/>
              <w:rPr>
                <w:b/>
                <w:sz w:val="24"/>
              </w:rPr>
            </w:pPr>
          </w:p>
          <w:p w14:paraId="4E281331" w14:textId="77777777" w:rsidR="008F05D4" w:rsidRDefault="00591031">
            <w:pPr>
              <w:pStyle w:val="TableParagraph"/>
              <w:spacing w:before="188"/>
              <w:ind w:left="88" w:right="74"/>
              <w:jc w:val="center"/>
              <w:rPr>
                <w:sz w:val="20"/>
              </w:rPr>
            </w:pPr>
            <w:r>
              <w:rPr>
                <w:sz w:val="20"/>
              </w:rPr>
              <w:t>1.45%</w:t>
            </w:r>
          </w:p>
        </w:tc>
        <w:tc>
          <w:tcPr>
            <w:tcW w:w="938" w:type="dxa"/>
            <w:tcBorders>
              <w:top w:val="single" w:sz="8" w:space="0" w:color="000000"/>
              <w:left w:val="single" w:sz="8" w:space="0" w:color="000000"/>
              <w:bottom w:val="single" w:sz="8" w:space="0" w:color="000000"/>
              <w:right w:val="single" w:sz="8" w:space="0" w:color="000000"/>
            </w:tcBorders>
          </w:tcPr>
          <w:p w14:paraId="7275206E" w14:textId="77777777" w:rsidR="008F05D4" w:rsidRDefault="008F05D4">
            <w:pPr>
              <w:pStyle w:val="TableParagraph"/>
              <w:rPr>
                <w:rFonts w:ascii="Times New Roman"/>
                <w:sz w:val="18"/>
              </w:rPr>
            </w:pPr>
          </w:p>
        </w:tc>
      </w:tr>
      <w:tr w:rsidR="008F05D4" w14:paraId="60885C36" w14:textId="77777777">
        <w:trPr>
          <w:trHeight w:val="957"/>
        </w:trPr>
        <w:tc>
          <w:tcPr>
            <w:tcW w:w="1656" w:type="dxa"/>
            <w:tcBorders>
              <w:top w:val="single" w:sz="8" w:space="0" w:color="000000"/>
              <w:left w:val="single" w:sz="8" w:space="0" w:color="000000"/>
              <w:bottom w:val="single" w:sz="8" w:space="0" w:color="000000"/>
              <w:right w:val="single" w:sz="8" w:space="0" w:color="000000"/>
            </w:tcBorders>
          </w:tcPr>
          <w:p w14:paraId="09ECFE6C" w14:textId="77777777" w:rsidR="008F05D4" w:rsidRPr="00EC2529" w:rsidRDefault="00591031">
            <w:pPr>
              <w:pStyle w:val="TableParagraph"/>
              <w:spacing w:line="237" w:lineRule="auto"/>
              <w:ind w:left="107" w:right="88"/>
              <w:rPr>
                <w:sz w:val="20"/>
              </w:rPr>
            </w:pPr>
            <w:r w:rsidRPr="00E572B1">
              <w:rPr>
                <w:sz w:val="20"/>
              </w:rPr>
              <w:t xml:space="preserve">Non-student </w:t>
            </w:r>
            <w:r w:rsidRPr="00EC2529">
              <w:rPr>
                <w:sz w:val="20"/>
              </w:rPr>
              <w:t>Employees</w:t>
            </w:r>
          </w:p>
          <w:p w14:paraId="63E92BA1" w14:textId="77777777" w:rsidR="008F05D4" w:rsidRDefault="00591031">
            <w:pPr>
              <w:pStyle w:val="TableParagraph"/>
              <w:spacing w:before="6" w:line="240" w:lineRule="exact"/>
              <w:ind w:left="107" w:right="88"/>
              <w:rPr>
                <w:sz w:val="20"/>
              </w:rPr>
            </w:pPr>
            <w:r w:rsidRPr="00EC2529">
              <w:rPr>
                <w:sz w:val="20"/>
              </w:rPr>
              <w:t>NOT covered by SURS</w:t>
            </w:r>
          </w:p>
        </w:tc>
        <w:tc>
          <w:tcPr>
            <w:tcW w:w="1080" w:type="dxa"/>
            <w:tcBorders>
              <w:top w:val="single" w:sz="8" w:space="0" w:color="000000"/>
              <w:left w:val="single" w:sz="8" w:space="0" w:color="000000"/>
              <w:bottom w:val="single" w:sz="8" w:space="0" w:color="000000"/>
              <w:right w:val="single" w:sz="8" w:space="0" w:color="000000"/>
            </w:tcBorders>
            <w:shd w:val="clear" w:color="auto" w:fill="C2D69B"/>
          </w:tcPr>
          <w:p w14:paraId="033BBAC0" w14:textId="77777777" w:rsidR="008F05D4" w:rsidRDefault="008F05D4">
            <w:pPr>
              <w:pStyle w:val="TableParagraph"/>
              <w:spacing w:before="6"/>
              <w:rPr>
                <w:b/>
                <w:sz w:val="29"/>
              </w:rPr>
            </w:pPr>
          </w:p>
          <w:p w14:paraId="25780383" w14:textId="77777777" w:rsidR="008F05D4" w:rsidRDefault="00591031" w:rsidP="00B95CB4">
            <w:pPr>
              <w:pStyle w:val="TableParagraph"/>
              <w:ind w:right="181"/>
              <w:jc w:val="right"/>
              <w:rPr>
                <w:b/>
                <w:sz w:val="20"/>
              </w:rPr>
            </w:pPr>
            <w:r>
              <w:rPr>
                <w:b/>
                <w:w w:val="95"/>
                <w:sz w:val="20"/>
              </w:rPr>
              <w:t>7.</w:t>
            </w:r>
            <w:r w:rsidR="00B95CB4">
              <w:rPr>
                <w:b/>
                <w:w w:val="95"/>
                <w:sz w:val="20"/>
              </w:rPr>
              <w:t>66</w:t>
            </w:r>
            <w:r>
              <w:rPr>
                <w:b/>
                <w:w w:val="95"/>
                <w:sz w:val="20"/>
              </w:rPr>
              <w:t>%</w:t>
            </w:r>
          </w:p>
        </w:tc>
        <w:tc>
          <w:tcPr>
            <w:tcW w:w="953" w:type="dxa"/>
            <w:tcBorders>
              <w:top w:val="single" w:sz="8" w:space="0" w:color="000000"/>
              <w:left w:val="single" w:sz="8" w:space="0" w:color="000000"/>
              <w:bottom w:val="single" w:sz="8" w:space="0" w:color="000000"/>
              <w:right w:val="single" w:sz="8" w:space="0" w:color="000000"/>
            </w:tcBorders>
          </w:tcPr>
          <w:p w14:paraId="082B6F12" w14:textId="77777777" w:rsidR="008F05D4" w:rsidRDefault="008F05D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0550ABAE" w14:textId="77777777" w:rsidR="008F05D4" w:rsidRDefault="008F05D4">
            <w:pPr>
              <w:pStyle w:val="TableParagraph"/>
              <w:rPr>
                <w:rFonts w:ascii="Times New Roman"/>
                <w:sz w:val="18"/>
              </w:rPr>
            </w:pPr>
          </w:p>
        </w:tc>
        <w:tc>
          <w:tcPr>
            <w:tcW w:w="1747" w:type="dxa"/>
            <w:tcBorders>
              <w:top w:val="single" w:sz="8" w:space="0" w:color="000000"/>
              <w:left w:val="single" w:sz="8" w:space="0" w:color="000000"/>
              <w:bottom w:val="single" w:sz="8" w:space="0" w:color="000000"/>
              <w:right w:val="single" w:sz="8" w:space="0" w:color="000000"/>
            </w:tcBorders>
          </w:tcPr>
          <w:p w14:paraId="02D6F726" w14:textId="77777777" w:rsidR="008F05D4" w:rsidRDefault="008F05D4">
            <w:pPr>
              <w:pStyle w:val="TableParagraph"/>
              <w:spacing w:before="6"/>
              <w:rPr>
                <w:b/>
                <w:sz w:val="29"/>
              </w:rPr>
            </w:pPr>
          </w:p>
          <w:p w14:paraId="0BD4247B" w14:textId="77777777" w:rsidR="008F05D4" w:rsidRDefault="00591031" w:rsidP="00B95CB4">
            <w:pPr>
              <w:pStyle w:val="TableParagraph"/>
              <w:ind w:left="557" w:right="544"/>
              <w:jc w:val="center"/>
              <w:rPr>
                <w:sz w:val="20"/>
              </w:rPr>
            </w:pPr>
            <w:r>
              <w:rPr>
                <w:sz w:val="20"/>
              </w:rPr>
              <w:t>0.0</w:t>
            </w:r>
            <w:r w:rsidR="00B95CB4">
              <w:rPr>
                <w:sz w:val="20"/>
              </w:rPr>
              <w:t>1</w:t>
            </w:r>
            <w:r>
              <w:rPr>
                <w:sz w:val="20"/>
              </w:rPr>
              <w:t>%</w:t>
            </w:r>
          </w:p>
        </w:tc>
        <w:tc>
          <w:tcPr>
            <w:tcW w:w="1442" w:type="dxa"/>
            <w:tcBorders>
              <w:top w:val="single" w:sz="8" w:space="0" w:color="000000"/>
              <w:left w:val="single" w:sz="8" w:space="0" w:color="000000"/>
              <w:bottom w:val="single" w:sz="8" w:space="0" w:color="000000"/>
              <w:right w:val="single" w:sz="8" w:space="0" w:color="000000"/>
            </w:tcBorders>
          </w:tcPr>
          <w:p w14:paraId="64883496" w14:textId="77777777" w:rsidR="008F05D4" w:rsidRDefault="008F05D4">
            <w:pPr>
              <w:pStyle w:val="TableParagraph"/>
              <w:rPr>
                <w:rFonts w:ascii="Times New Roman"/>
                <w:sz w:val="18"/>
              </w:rPr>
            </w:pPr>
          </w:p>
        </w:tc>
        <w:tc>
          <w:tcPr>
            <w:tcW w:w="1344" w:type="dxa"/>
            <w:tcBorders>
              <w:top w:val="single" w:sz="8" w:space="0" w:color="000000"/>
              <w:left w:val="single" w:sz="8" w:space="0" w:color="000000"/>
              <w:bottom w:val="single" w:sz="8" w:space="0" w:color="000000"/>
              <w:right w:val="single" w:sz="8" w:space="0" w:color="000000"/>
            </w:tcBorders>
          </w:tcPr>
          <w:p w14:paraId="58564E46" w14:textId="77777777" w:rsidR="008F05D4" w:rsidRDefault="008F05D4">
            <w:pPr>
              <w:pStyle w:val="TableParagraph"/>
              <w:spacing w:before="6"/>
              <w:rPr>
                <w:b/>
                <w:sz w:val="29"/>
              </w:rPr>
            </w:pPr>
          </w:p>
          <w:p w14:paraId="0205C4A7" w14:textId="77777777" w:rsidR="008F05D4" w:rsidRDefault="00591031">
            <w:pPr>
              <w:pStyle w:val="TableParagraph"/>
              <w:ind w:left="88" w:right="74"/>
              <w:jc w:val="center"/>
              <w:rPr>
                <w:sz w:val="20"/>
              </w:rPr>
            </w:pPr>
            <w:r>
              <w:rPr>
                <w:sz w:val="20"/>
              </w:rPr>
              <w:t>1.45%</w:t>
            </w:r>
          </w:p>
        </w:tc>
        <w:tc>
          <w:tcPr>
            <w:tcW w:w="938" w:type="dxa"/>
            <w:tcBorders>
              <w:top w:val="single" w:sz="8" w:space="0" w:color="000000"/>
              <w:left w:val="single" w:sz="8" w:space="0" w:color="000000"/>
              <w:bottom w:val="single" w:sz="8" w:space="0" w:color="000000"/>
              <w:right w:val="single" w:sz="8" w:space="0" w:color="000000"/>
            </w:tcBorders>
          </w:tcPr>
          <w:p w14:paraId="3255D964" w14:textId="77777777" w:rsidR="008F05D4" w:rsidRDefault="008F05D4">
            <w:pPr>
              <w:pStyle w:val="TableParagraph"/>
              <w:spacing w:before="6"/>
              <w:rPr>
                <w:b/>
                <w:sz w:val="29"/>
              </w:rPr>
            </w:pPr>
          </w:p>
          <w:p w14:paraId="228196F1" w14:textId="77777777" w:rsidR="008F05D4" w:rsidRDefault="00591031">
            <w:pPr>
              <w:pStyle w:val="TableParagraph"/>
              <w:ind w:left="113" w:right="96"/>
              <w:jc w:val="center"/>
              <w:rPr>
                <w:sz w:val="20"/>
              </w:rPr>
            </w:pPr>
            <w:r>
              <w:rPr>
                <w:sz w:val="20"/>
              </w:rPr>
              <w:t>6.20%</w:t>
            </w:r>
          </w:p>
        </w:tc>
      </w:tr>
      <w:tr w:rsidR="008F05D4" w14:paraId="26E37E23" w14:textId="77777777">
        <w:trPr>
          <w:trHeight w:val="476"/>
        </w:trPr>
        <w:tc>
          <w:tcPr>
            <w:tcW w:w="1656" w:type="dxa"/>
            <w:tcBorders>
              <w:top w:val="single" w:sz="8" w:space="0" w:color="000000"/>
              <w:left w:val="single" w:sz="8" w:space="0" w:color="000000"/>
              <w:bottom w:val="single" w:sz="8" w:space="0" w:color="000000"/>
              <w:right w:val="single" w:sz="8" w:space="0" w:color="000000"/>
            </w:tcBorders>
          </w:tcPr>
          <w:p w14:paraId="6A467A74" w14:textId="77777777" w:rsidR="008F05D4" w:rsidRPr="00EC2529" w:rsidRDefault="00591031">
            <w:pPr>
              <w:pStyle w:val="TableParagraph"/>
              <w:spacing w:line="242" w:lineRule="exact"/>
              <w:ind w:left="107" w:right="88"/>
              <w:rPr>
                <w:sz w:val="20"/>
              </w:rPr>
            </w:pPr>
            <w:r w:rsidRPr="00EC2529">
              <w:rPr>
                <w:sz w:val="20"/>
              </w:rPr>
              <w:t xml:space="preserve">Graduate </w:t>
            </w:r>
            <w:r w:rsidRPr="00E572B1">
              <w:rPr>
                <w:sz w:val="20"/>
              </w:rPr>
              <w:t>Assistants</w:t>
            </w:r>
          </w:p>
        </w:tc>
        <w:tc>
          <w:tcPr>
            <w:tcW w:w="1080" w:type="dxa"/>
            <w:tcBorders>
              <w:top w:val="single" w:sz="8" w:space="0" w:color="000000"/>
              <w:left w:val="single" w:sz="8" w:space="0" w:color="000000"/>
              <w:bottom w:val="single" w:sz="8" w:space="0" w:color="000000"/>
              <w:right w:val="single" w:sz="8" w:space="0" w:color="000000"/>
            </w:tcBorders>
            <w:shd w:val="clear" w:color="auto" w:fill="C2D69B"/>
          </w:tcPr>
          <w:p w14:paraId="2CD49121" w14:textId="77777777" w:rsidR="008F05D4" w:rsidRDefault="00B95CB4">
            <w:pPr>
              <w:pStyle w:val="TableParagraph"/>
              <w:spacing w:before="116"/>
              <w:ind w:right="181"/>
              <w:jc w:val="right"/>
              <w:rPr>
                <w:b/>
                <w:sz w:val="20"/>
              </w:rPr>
            </w:pPr>
            <w:r>
              <w:rPr>
                <w:b/>
                <w:w w:val="95"/>
                <w:sz w:val="20"/>
              </w:rPr>
              <w:t>0.</w:t>
            </w:r>
            <w:r w:rsidR="00591031">
              <w:rPr>
                <w:b/>
                <w:w w:val="95"/>
                <w:sz w:val="20"/>
              </w:rPr>
              <w:t>0</w:t>
            </w:r>
            <w:r>
              <w:rPr>
                <w:b/>
                <w:w w:val="95"/>
                <w:sz w:val="20"/>
              </w:rPr>
              <w:t>1</w:t>
            </w:r>
            <w:r w:rsidR="00591031">
              <w:rPr>
                <w:b/>
                <w:w w:val="95"/>
                <w:sz w:val="20"/>
              </w:rPr>
              <w:t>%</w:t>
            </w:r>
          </w:p>
        </w:tc>
        <w:tc>
          <w:tcPr>
            <w:tcW w:w="953" w:type="dxa"/>
            <w:tcBorders>
              <w:top w:val="single" w:sz="8" w:space="0" w:color="000000"/>
              <w:left w:val="single" w:sz="8" w:space="0" w:color="000000"/>
              <w:bottom w:val="single" w:sz="8" w:space="0" w:color="000000"/>
              <w:right w:val="single" w:sz="8" w:space="0" w:color="000000"/>
            </w:tcBorders>
          </w:tcPr>
          <w:p w14:paraId="71D0626C" w14:textId="77777777" w:rsidR="008F05D4" w:rsidRDefault="008F05D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625CB55B" w14:textId="77777777" w:rsidR="008F05D4" w:rsidRDefault="008F05D4">
            <w:pPr>
              <w:pStyle w:val="TableParagraph"/>
              <w:rPr>
                <w:rFonts w:ascii="Times New Roman"/>
                <w:sz w:val="18"/>
              </w:rPr>
            </w:pPr>
          </w:p>
        </w:tc>
        <w:tc>
          <w:tcPr>
            <w:tcW w:w="1747" w:type="dxa"/>
            <w:tcBorders>
              <w:top w:val="single" w:sz="8" w:space="0" w:color="000000"/>
              <w:left w:val="single" w:sz="8" w:space="0" w:color="000000"/>
              <w:bottom w:val="single" w:sz="8" w:space="0" w:color="000000"/>
              <w:right w:val="single" w:sz="8" w:space="0" w:color="000000"/>
            </w:tcBorders>
          </w:tcPr>
          <w:p w14:paraId="19A64219" w14:textId="77777777" w:rsidR="008F05D4" w:rsidRDefault="00B95CB4">
            <w:pPr>
              <w:pStyle w:val="TableParagraph"/>
              <w:spacing w:before="116"/>
              <w:ind w:left="557" w:right="545"/>
              <w:jc w:val="center"/>
              <w:rPr>
                <w:sz w:val="20"/>
              </w:rPr>
            </w:pPr>
            <w:r>
              <w:rPr>
                <w:sz w:val="20"/>
              </w:rPr>
              <w:t>0.</w:t>
            </w:r>
            <w:r w:rsidR="00591031">
              <w:rPr>
                <w:sz w:val="20"/>
              </w:rPr>
              <w:t>0</w:t>
            </w:r>
            <w:r>
              <w:rPr>
                <w:sz w:val="20"/>
              </w:rPr>
              <w:t>1</w:t>
            </w:r>
            <w:r w:rsidR="00591031">
              <w:rPr>
                <w:sz w:val="20"/>
              </w:rPr>
              <w:t>%</w:t>
            </w:r>
          </w:p>
        </w:tc>
        <w:tc>
          <w:tcPr>
            <w:tcW w:w="1442" w:type="dxa"/>
            <w:tcBorders>
              <w:top w:val="single" w:sz="8" w:space="0" w:color="000000"/>
              <w:left w:val="single" w:sz="8" w:space="0" w:color="000000"/>
              <w:bottom w:val="single" w:sz="8" w:space="0" w:color="000000"/>
              <w:right w:val="single" w:sz="8" w:space="0" w:color="000000"/>
            </w:tcBorders>
          </w:tcPr>
          <w:p w14:paraId="1A426AFD" w14:textId="77777777" w:rsidR="008F05D4" w:rsidRDefault="008F05D4">
            <w:pPr>
              <w:pStyle w:val="TableParagraph"/>
              <w:rPr>
                <w:rFonts w:ascii="Times New Roman"/>
                <w:sz w:val="18"/>
              </w:rPr>
            </w:pPr>
          </w:p>
        </w:tc>
        <w:tc>
          <w:tcPr>
            <w:tcW w:w="1344" w:type="dxa"/>
            <w:tcBorders>
              <w:top w:val="single" w:sz="8" w:space="0" w:color="000000"/>
              <w:left w:val="single" w:sz="8" w:space="0" w:color="000000"/>
              <w:bottom w:val="single" w:sz="8" w:space="0" w:color="000000"/>
              <w:right w:val="single" w:sz="8" w:space="0" w:color="000000"/>
            </w:tcBorders>
          </w:tcPr>
          <w:p w14:paraId="010F1E57" w14:textId="77777777" w:rsidR="008F05D4" w:rsidRDefault="008F05D4">
            <w:pPr>
              <w:pStyle w:val="TableParagraph"/>
              <w:rPr>
                <w:rFonts w:ascii="Times New Roman"/>
                <w:sz w:val="18"/>
              </w:rPr>
            </w:pPr>
          </w:p>
        </w:tc>
        <w:tc>
          <w:tcPr>
            <w:tcW w:w="938" w:type="dxa"/>
            <w:tcBorders>
              <w:top w:val="single" w:sz="8" w:space="0" w:color="000000"/>
              <w:left w:val="single" w:sz="8" w:space="0" w:color="000000"/>
              <w:bottom w:val="single" w:sz="8" w:space="0" w:color="000000"/>
              <w:right w:val="single" w:sz="8" w:space="0" w:color="000000"/>
            </w:tcBorders>
          </w:tcPr>
          <w:p w14:paraId="3C0BAC73" w14:textId="77777777" w:rsidR="008F05D4" w:rsidRDefault="008F05D4">
            <w:pPr>
              <w:pStyle w:val="TableParagraph"/>
              <w:rPr>
                <w:rFonts w:ascii="Times New Roman"/>
                <w:sz w:val="18"/>
              </w:rPr>
            </w:pPr>
          </w:p>
        </w:tc>
      </w:tr>
      <w:tr w:rsidR="008F05D4" w14:paraId="30494859" w14:textId="77777777">
        <w:trPr>
          <w:trHeight w:val="716"/>
        </w:trPr>
        <w:tc>
          <w:tcPr>
            <w:tcW w:w="1656" w:type="dxa"/>
            <w:tcBorders>
              <w:top w:val="single" w:sz="8" w:space="0" w:color="000000"/>
              <w:left w:val="single" w:sz="8" w:space="0" w:color="000000"/>
              <w:bottom w:val="single" w:sz="8" w:space="0" w:color="000000"/>
              <w:right w:val="single" w:sz="8" w:space="0" w:color="000000"/>
            </w:tcBorders>
          </w:tcPr>
          <w:p w14:paraId="006AD92A" w14:textId="77777777" w:rsidR="008F05D4" w:rsidRDefault="00591031">
            <w:pPr>
              <w:pStyle w:val="TableParagraph"/>
              <w:spacing w:line="237" w:lineRule="auto"/>
              <w:ind w:left="107" w:right="177"/>
              <w:rPr>
                <w:sz w:val="20"/>
              </w:rPr>
            </w:pPr>
            <w:r>
              <w:rPr>
                <w:sz w:val="20"/>
              </w:rPr>
              <w:t>Students Enrolled &gt; Half</w:t>
            </w:r>
          </w:p>
          <w:p w14:paraId="1E19C892" w14:textId="77777777" w:rsidR="008F05D4" w:rsidRDefault="00591031">
            <w:pPr>
              <w:pStyle w:val="TableParagraph"/>
              <w:spacing w:line="220" w:lineRule="exact"/>
              <w:ind w:left="107"/>
              <w:rPr>
                <w:sz w:val="13"/>
              </w:rPr>
            </w:pPr>
            <w:r>
              <w:rPr>
                <w:sz w:val="20"/>
              </w:rPr>
              <w:t>Time</w:t>
            </w:r>
            <w:r>
              <w:rPr>
                <w:position w:val="7"/>
                <w:sz w:val="13"/>
              </w:rPr>
              <w:t>2</w:t>
            </w:r>
          </w:p>
        </w:tc>
        <w:tc>
          <w:tcPr>
            <w:tcW w:w="1080" w:type="dxa"/>
            <w:tcBorders>
              <w:top w:val="single" w:sz="8" w:space="0" w:color="000000"/>
              <w:left w:val="single" w:sz="8" w:space="0" w:color="000000"/>
              <w:bottom w:val="single" w:sz="8" w:space="0" w:color="000000"/>
              <w:right w:val="single" w:sz="8" w:space="0" w:color="000000"/>
            </w:tcBorders>
            <w:shd w:val="clear" w:color="auto" w:fill="C2D69B"/>
          </w:tcPr>
          <w:p w14:paraId="5E30583D" w14:textId="77777777" w:rsidR="008F05D4" w:rsidRDefault="008F05D4">
            <w:pPr>
              <w:pStyle w:val="TableParagraph"/>
              <w:spacing w:before="4"/>
              <w:rPr>
                <w:b/>
                <w:sz w:val="19"/>
              </w:rPr>
            </w:pPr>
          </w:p>
          <w:p w14:paraId="7FB60146" w14:textId="77777777" w:rsidR="008F05D4" w:rsidRDefault="00B95CB4">
            <w:pPr>
              <w:pStyle w:val="TableParagraph"/>
              <w:ind w:right="181"/>
              <w:jc w:val="right"/>
              <w:rPr>
                <w:b/>
                <w:sz w:val="20"/>
              </w:rPr>
            </w:pPr>
            <w:r>
              <w:rPr>
                <w:b/>
                <w:w w:val="95"/>
                <w:sz w:val="20"/>
              </w:rPr>
              <w:t>0.</w:t>
            </w:r>
            <w:r w:rsidR="00591031">
              <w:rPr>
                <w:b/>
                <w:w w:val="95"/>
                <w:sz w:val="20"/>
              </w:rPr>
              <w:t>0</w:t>
            </w:r>
            <w:r>
              <w:rPr>
                <w:b/>
                <w:w w:val="95"/>
                <w:sz w:val="20"/>
              </w:rPr>
              <w:t>1</w:t>
            </w:r>
            <w:r w:rsidR="00591031">
              <w:rPr>
                <w:b/>
                <w:w w:val="95"/>
                <w:sz w:val="20"/>
              </w:rPr>
              <w:t>%</w:t>
            </w:r>
          </w:p>
        </w:tc>
        <w:tc>
          <w:tcPr>
            <w:tcW w:w="953" w:type="dxa"/>
            <w:tcBorders>
              <w:top w:val="single" w:sz="8" w:space="0" w:color="000000"/>
              <w:left w:val="single" w:sz="8" w:space="0" w:color="000000"/>
              <w:bottom w:val="single" w:sz="8" w:space="0" w:color="000000"/>
              <w:right w:val="single" w:sz="8" w:space="0" w:color="000000"/>
            </w:tcBorders>
          </w:tcPr>
          <w:p w14:paraId="045BCC2D" w14:textId="77777777" w:rsidR="008F05D4" w:rsidRDefault="008F05D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50B483A2" w14:textId="77777777" w:rsidR="008F05D4" w:rsidRDefault="008F05D4">
            <w:pPr>
              <w:pStyle w:val="TableParagraph"/>
              <w:rPr>
                <w:rFonts w:ascii="Times New Roman"/>
                <w:sz w:val="18"/>
              </w:rPr>
            </w:pPr>
          </w:p>
        </w:tc>
        <w:tc>
          <w:tcPr>
            <w:tcW w:w="1747" w:type="dxa"/>
            <w:tcBorders>
              <w:top w:val="single" w:sz="8" w:space="0" w:color="000000"/>
              <w:left w:val="single" w:sz="8" w:space="0" w:color="000000"/>
              <w:bottom w:val="single" w:sz="8" w:space="0" w:color="000000"/>
              <w:right w:val="single" w:sz="8" w:space="0" w:color="000000"/>
            </w:tcBorders>
          </w:tcPr>
          <w:p w14:paraId="382ABAEA" w14:textId="77777777" w:rsidR="008F05D4" w:rsidRDefault="008F05D4">
            <w:pPr>
              <w:pStyle w:val="TableParagraph"/>
              <w:spacing w:before="4"/>
              <w:rPr>
                <w:b/>
                <w:sz w:val="19"/>
              </w:rPr>
            </w:pPr>
          </w:p>
          <w:p w14:paraId="5A516D69" w14:textId="77777777" w:rsidR="008F05D4" w:rsidRDefault="00591031" w:rsidP="00B95CB4">
            <w:pPr>
              <w:pStyle w:val="TableParagraph"/>
              <w:ind w:left="557" w:right="545"/>
              <w:jc w:val="center"/>
              <w:rPr>
                <w:sz w:val="20"/>
              </w:rPr>
            </w:pPr>
            <w:r>
              <w:rPr>
                <w:sz w:val="20"/>
              </w:rPr>
              <w:t>0.0</w:t>
            </w:r>
            <w:r w:rsidR="00B95CB4">
              <w:rPr>
                <w:sz w:val="20"/>
              </w:rPr>
              <w:t>1</w:t>
            </w:r>
            <w:r>
              <w:rPr>
                <w:sz w:val="20"/>
              </w:rPr>
              <w:t>%</w:t>
            </w:r>
          </w:p>
        </w:tc>
        <w:tc>
          <w:tcPr>
            <w:tcW w:w="1442" w:type="dxa"/>
            <w:tcBorders>
              <w:top w:val="single" w:sz="8" w:space="0" w:color="000000"/>
              <w:left w:val="single" w:sz="8" w:space="0" w:color="000000"/>
              <w:bottom w:val="single" w:sz="8" w:space="0" w:color="000000"/>
              <w:right w:val="single" w:sz="8" w:space="0" w:color="000000"/>
            </w:tcBorders>
          </w:tcPr>
          <w:p w14:paraId="00DF3D26" w14:textId="77777777" w:rsidR="008F05D4" w:rsidRDefault="008F05D4">
            <w:pPr>
              <w:pStyle w:val="TableParagraph"/>
              <w:rPr>
                <w:rFonts w:ascii="Times New Roman"/>
                <w:sz w:val="18"/>
              </w:rPr>
            </w:pPr>
          </w:p>
        </w:tc>
        <w:tc>
          <w:tcPr>
            <w:tcW w:w="1344" w:type="dxa"/>
            <w:tcBorders>
              <w:top w:val="single" w:sz="8" w:space="0" w:color="000000"/>
              <w:left w:val="single" w:sz="8" w:space="0" w:color="000000"/>
              <w:bottom w:val="single" w:sz="8" w:space="0" w:color="000000"/>
              <w:right w:val="single" w:sz="8" w:space="0" w:color="000000"/>
            </w:tcBorders>
          </w:tcPr>
          <w:p w14:paraId="0F3992C8" w14:textId="77777777" w:rsidR="008F05D4" w:rsidRDefault="008F05D4">
            <w:pPr>
              <w:pStyle w:val="TableParagraph"/>
              <w:rPr>
                <w:rFonts w:ascii="Times New Roman"/>
                <w:sz w:val="18"/>
              </w:rPr>
            </w:pPr>
          </w:p>
        </w:tc>
        <w:tc>
          <w:tcPr>
            <w:tcW w:w="938" w:type="dxa"/>
            <w:tcBorders>
              <w:top w:val="single" w:sz="8" w:space="0" w:color="000000"/>
              <w:left w:val="single" w:sz="8" w:space="0" w:color="000000"/>
              <w:bottom w:val="single" w:sz="8" w:space="0" w:color="000000"/>
              <w:right w:val="single" w:sz="8" w:space="0" w:color="000000"/>
            </w:tcBorders>
          </w:tcPr>
          <w:p w14:paraId="2EC0AA12" w14:textId="77777777" w:rsidR="008F05D4" w:rsidRDefault="008F05D4">
            <w:pPr>
              <w:pStyle w:val="TableParagraph"/>
              <w:rPr>
                <w:rFonts w:ascii="Times New Roman"/>
                <w:sz w:val="18"/>
              </w:rPr>
            </w:pPr>
          </w:p>
        </w:tc>
      </w:tr>
      <w:tr w:rsidR="008F05D4" w14:paraId="18157C1F" w14:textId="77777777">
        <w:trPr>
          <w:trHeight w:val="724"/>
        </w:trPr>
        <w:tc>
          <w:tcPr>
            <w:tcW w:w="1656" w:type="dxa"/>
            <w:tcBorders>
              <w:top w:val="single" w:sz="8" w:space="0" w:color="000000"/>
              <w:left w:val="single" w:sz="8" w:space="0" w:color="000000"/>
              <w:bottom w:val="single" w:sz="8" w:space="0" w:color="000000"/>
              <w:right w:val="single" w:sz="8" w:space="0" w:color="000000"/>
            </w:tcBorders>
          </w:tcPr>
          <w:p w14:paraId="06694B53" w14:textId="77777777" w:rsidR="008F05D4" w:rsidRDefault="00591031">
            <w:pPr>
              <w:pStyle w:val="TableParagraph"/>
              <w:spacing w:before="1"/>
              <w:ind w:left="107"/>
              <w:rPr>
                <w:sz w:val="20"/>
              </w:rPr>
            </w:pPr>
            <w:r>
              <w:rPr>
                <w:sz w:val="20"/>
              </w:rPr>
              <w:t>Students</w:t>
            </w:r>
          </w:p>
          <w:p w14:paraId="107B67D7" w14:textId="77777777" w:rsidR="008F05D4" w:rsidRDefault="00591031">
            <w:pPr>
              <w:pStyle w:val="TableParagraph"/>
              <w:spacing w:before="9" w:line="240" w:lineRule="exact"/>
              <w:ind w:left="107" w:right="177"/>
              <w:rPr>
                <w:sz w:val="13"/>
              </w:rPr>
            </w:pPr>
            <w:r>
              <w:rPr>
                <w:sz w:val="20"/>
              </w:rPr>
              <w:t>Enrolled &lt; Half Time</w:t>
            </w:r>
            <w:r>
              <w:rPr>
                <w:position w:val="7"/>
                <w:sz w:val="13"/>
              </w:rPr>
              <w:t>2</w:t>
            </w:r>
          </w:p>
        </w:tc>
        <w:tc>
          <w:tcPr>
            <w:tcW w:w="1080" w:type="dxa"/>
            <w:tcBorders>
              <w:top w:val="single" w:sz="8" w:space="0" w:color="000000"/>
              <w:left w:val="single" w:sz="8" w:space="0" w:color="000000"/>
              <w:bottom w:val="single" w:sz="8" w:space="0" w:color="000000"/>
              <w:right w:val="single" w:sz="8" w:space="0" w:color="000000"/>
            </w:tcBorders>
            <w:shd w:val="clear" w:color="auto" w:fill="C2D69B"/>
          </w:tcPr>
          <w:p w14:paraId="694B532B" w14:textId="77777777" w:rsidR="008F05D4" w:rsidRDefault="008F05D4">
            <w:pPr>
              <w:pStyle w:val="TableParagraph"/>
              <w:spacing w:before="2"/>
              <w:rPr>
                <w:b/>
                <w:sz w:val="20"/>
              </w:rPr>
            </w:pPr>
          </w:p>
          <w:p w14:paraId="09C299B0" w14:textId="77777777" w:rsidR="008F05D4" w:rsidRDefault="00591031" w:rsidP="00B95CB4">
            <w:pPr>
              <w:pStyle w:val="TableParagraph"/>
              <w:ind w:right="180"/>
              <w:jc w:val="right"/>
              <w:rPr>
                <w:b/>
                <w:sz w:val="20"/>
              </w:rPr>
            </w:pPr>
            <w:r>
              <w:rPr>
                <w:b/>
                <w:w w:val="95"/>
                <w:sz w:val="20"/>
              </w:rPr>
              <w:t>7.</w:t>
            </w:r>
            <w:r w:rsidR="00B95CB4">
              <w:rPr>
                <w:b/>
                <w:w w:val="95"/>
                <w:sz w:val="20"/>
              </w:rPr>
              <w:t>66</w:t>
            </w:r>
            <w:r>
              <w:rPr>
                <w:b/>
                <w:w w:val="95"/>
                <w:sz w:val="20"/>
              </w:rPr>
              <w:t>%</w:t>
            </w:r>
          </w:p>
        </w:tc>
        <w:tc>
          <w:tcPr>
            <w:tcW w:w="953" w:type="dxa"/>
            <w:tcBorders>
              <w:top w:val="single" w:sz="8" w:space="0" w:color="000000"/>
              <w:left w:val="single" w:sz="8" w:space="0" w:color="000000"/>
              <w:bottom w:val="single" w:sz="8" w:space="0" w:color="000000"/>
              <w:right w:val="single" w:sz="8" w:space="0" w:color="000000"/>
            </w:tcBorders>
          </w:tcPr>
          <w:p w14:paraId="098EB6E1" w14:textId="77777777" w:rsidR="008F05D4" w:rsidRDefault="008F05D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430A8338" w14:textId="77777777" w:rsidR="008F05D4" w:rsidRDefault="008F05D4">
            <w:pPr>
              <w:pStyle w:val="TableParagraph"/>
              <w:rPr>
                <w:rFonts w:ascii="Times New Roman"/>
                <w:sz w:val="18"/>
              </w:rPr>
            </w:pPr>
          </w:p>
        </w:tc>
        <w:tc>
          <w:tcPr>
            <w:tcW w:w="1747" w:type="dxa"/>
            <w:tcBorders>
              <w:top w:val="single" w:sz="8" w:space="0" w:color="000000"/>
              <w:left w:val="single" w:sz="8" w:space="0" w:color="000000"/>
              <w:bottom w:val="single" w:sz="8" w:space="0" w:color="000000"/>
              <w:right w:val="single" w:sz="8" w:space="0" w:color="000000"/>
            </w:tcBorders>
          </w:tcPr>
          <w:p w14:paraId="0558DF01" w14:textId="77777777" w:rsidR="008F05D4" w:rsidRDefault="008F05D4">
            <w:pPr>
              <w:pStyle w:val="TableParagraph"/>
              <w:spacing w:before="2"/>
              <w:rPr>
                <w:b/>
                <w:sz w:val="20"/>
              </w:rPr>
            </w:pPr>
          </w:p>
          <w:p w14:paraId="3D6FCCCE" w14:textId="77777777" w:rsidR="008F05D4" w:rsidRDefault="00B95CB4">
            <w:pPr>
              <w:pStyle w:val="TableParagraph"/>
              <w:ind w:left="557" w:right="545"/>
              <w:jc w:val="center"/>
              <w:rPr>
                <w:sz w:val="20"/>
              </w:rPr>
            </w:pPr>
            <w:r>
              <w:rPr>
                <w:sz w:val="20"/>
              </w:rPr>
              <w:t>0.</w:t>
            </w:r>
            <w:r w:rsidR="00591031">
              <w:rPr>
                <w:sz w:val="20"/>
              </w:rPr>
              <w:t>0</w:t>
            </w:r>
            <w:r>
              <w:rPr>
                <w:sz w:val="20"/>
              </w:rPr>
              <w:t>1</w:t>
            </w:r>
            <w:r w:rsidR="00591031">
              <w:rPr>
                <w:sz w:val="20"/>
              </w:rPr>
              <w:t>%</w:t>
            </w:r>
          </w:p>
        </w:tc>
        <w:tc>
          <w:tcPr>
            <w:tcW w:w="1442" w:type="dxa"/>
            <w:tcBorders>
              <w:top w:val="single" w:sz="8" w:space="0" w:color="000000"/>
              <w:left w:val="single" w:sz="8" w:space="0" w:color="000000"/>
              <w:bottom w:val="single" w:sz="8" w:space="0" w:color="000000"/>
              <w:right w:val="single" w:sz="8" w:space="0" w:color="000000"/>
            </w:tcBorders>
          </w:tcPr>
          <w:p w14:paraId="0510D175" w14:textId="77777777" w:rsidR="008F05D4" w:rsidRDefault="008F05D4">
            <w:pPr>
              <w:pStyle w:val="TableParagraph"/>
              <w:rPr>
                <w:rFonts w:ascii="Times New Roman"/>
                <w:sz w:val="18"/>
              </w:rPr>
            </w:pPr>
          </w:p>
        </w:tc>
        <w:tc>
          <w:tcPr>
            <w:tcW w:w="1344" w:type="dxa"/>
            <w:tcBorders>
              <w:top w:val="single" w:sz="8" w:space="0" w:color="000000"/>
              <w:left w:val="single" w:sz="8" w:space="0" w:color="000000"/>
              <w:bottom w:val="single" w:sz="8" w:space="0" w:color="000000"/>
              <w:right w:val="single" w:sz="8" w:space="0" w:color="000000"/>
            </w:tcBorders>
          </w:tcPr>
          <w:p w14:paraId="71402814" w14:textId="77777777" w:rsidR="008F05D4" w:rsidRDefault="008F05D4">
            <w:pPr>
              <w:pStyle w:val="TableParagraph"/>
              <w:spacing w:before="2"/>
              <w:rPr>
                <w:b/>
                <w:sz w:val="20"/>
              </w:rPr>
            </w:pPr>
          </w:p>
          <w:p w14:paraId="454E7868" w14:textId="77777777" w:rsidR="008F05D4" w:rsidRDefault="00591031">
            <w:pPr>
              <w:pStyle w:val="TableParagraph"/>
              <w:ind w:left="88" w:right="74"/>
              <w:jc w:val="center"/>
              <w:rPr>
                <w:sz w:val="20"/>
              </w:rPr>
            </w:pPr>
            <w:r>
              <w:rPr>
                <w:sz w:val="20"/>
              </w:rPr>
              <w:t>1.45%</w:t>
            </w:r>
          </w:p>
        </w:tc>
        <w:tc>
          <w:tcPr>
            <w:tcW w:w="938" w:type="dxa"/>
            <w:tcBorders>
              <w:top w:val="single" w:sz="8" w:space="0" w:color="000000"/>
              <w:left w:val="single" w:sz="8" w:space="0" w:color="000000"/>
              <w:bottom w:val="single" w:sz="8" w:space="0" w:color="000000"/>
              <w:right w:val="single" w:sz="8" w:space="0" w:color="000000"/>
            </w:tcBorders>
          </w:tcPr>
          <w:p w14:paraId="6E6E1268" w14:textId="77777777" w:rsidR="008F05D4" w:rsidRDefault="008F05D4">
            <w:pPr>
              <w:pStyle w:val="TableParagraph"/>
              <w:spacing w:before="2"/>
              <w:rPr>
                <w:b/>
                <w:sz w:val="20"/>
              </w:rPr>
            </w:pPr>
          </w:p>
          <w:p w14:paraId="0FC51DD0" w14:textId="77777777" w:rsidR="008F05D4" w:rsidRDefault="00591031">
            <w:pPr>
              <w:pStyle w:val="TableParagraph"/>
              <w:ind w:left="113" w:right="96"/>
              <w:jc w:val="center"/>
              <w:rPr>
                <w:sz w:val="20"/>
              </w:rPr>
            </w:pPr>
            <w:r>
              <w:rPr>
                <w:sz w:val="20"/>
              </w:rPr>
              <w:t>6.20%</w:t>
            </w:r>
          </w:p>
        </w:tc>
      </w:tr>
    </w:tbl>
    <w:p w14:paraId="0B4776A6" w14:textId="77777777" w:rsidR="008F05D4" w:rsidRDefault="00591031">
      <w:pPr>
        <w:spacing w:before="234"/>
        <w:ind w:left="600"/>
        <w:rPr>
          <w:i/>
          <w:sz w:val="19"/>
        </w:rPr>
      </w:pPr>
      <w:r>
        <w:rPr>
          <w:i/>
          <w:position w:val="6"/>
          <w:sz w:val="12"/>
        </w:rPr>
        <w:t>1</w:t>
      </w:r>
      <w:r>
        <w:rPr>
          <w:i/>
          <w:sz w:val="19"/>
        </w:rPr>
        <w:t>For employees who have elected the self-managed plan the actual rate of 7.6% will be charged.</w:t>
      </w:r>
    </w:p>
    <w:p w14:paraId="4F9F796C" w14:textId="77777777" w:rsidR="008F05D4" w:rsidRDefault="008F05D4">
      <w:pPr>
        <w:pStyle w:val="BodyText"/>
        <w:spacing w:before="10"/>
        <w:rPr>
          <w:i/>
          <w:sz w:val="17"/>
        </w:rPr>
      </w:pPr>
    </w:p>
    <w:p w14:paraId="34020A23" w14:textId="77777777" w:rsidR="008F05D4" w:rsidRDefault="00591031">
      <w:pPr>
        <w:spacing w:line="228" w:lineRule="auto"/>
        <w:ind w:left="599" w:right="516"/>
        <w:rPr>
          <w:i/>
          <w:sz w:val="19"/>
        </w:rPr>
      </w:pPr>
      <w:r>
        <w:rPr>
          <w:i/>
          <w:position w:val="6"/>
          <w:sz w:val="12"/>
        </w:rPr>
        <w:t>2</w:t>
      </w:r>
      <w:r>
        <w:rPr>
          <w:i/>
          <w:sz w:val="19"/>
        </w:rPr>
        <w:t>IRS regulations require FICA (OASDI plus Medicare) withholding on assistantship salaries when a student is registered</w:t>
      </w:r>
      <w:r>
        <w:rPr>
          <w:i/>
          <w:spacing w:val="-24"/>
          <w:sz w:val="19"/>
        </w:rPr>
        <w:t xml:space="preserve"> </w:t>
      </w:r>
      <w:r>
        <w:rPr>
          <w:i/>
          <w:sz w:val="19"/>
        </w:rPr>
        <w:t>for</w:t>
      </w:r>
      <w:r>
        <w:rPr>
          <w:i/>
          <w:spacing w:val="-24"/>
          <w:sz w:val="19"/>
        </w:rPr>
        <w:t xml:space="preserve"> </w:t>
      </w:r>
      <w:r>
        <w:rPr>
          <w:i/>
          <w:sz w:val="19"/>
        </w:rPr>
        <w:t>fewer</w:t>
      </w:r>
      <w:r>
        <w:rPr>
          <w:i/>
          <w:spacing w:val="-23"/>
          <w:sz w:val="19"/>
        </w:rPr>
        <w:t xml:space="preserve"> </w:t>
      </w:r>
      <w:r>
        <w:rPr>
          <w:i/>
          <w:sz w:val="19"/>
        </w:rPr>
        <w:t>than</w:t>
      </w:r>
      <w:r>
        <w:rPr>
          <w:i/>
          <w:spacing w:val="-22"/>
          <w:sz w:val="19"/>
        </w:rPr>
        <w:t xml:space="preserve"> </w:t>
      </w:r>
      <w:r>
        <w:rPr>
          <w:i/>
          <w:sz w:val="19"/>
        </w:rPr>
        <w:t>six</w:t>
      </w:r>
      <w:r>
        <w:rPr>
          <w:i/>
          <w:spacing w:val="-25"/>
          <w:sz w:val="19"/>
        </w:rPr>
        <w:t xml:space="preserve"> </w:t>
      </w:r>
      <w:r>
        <w:rPr>
          <w:i/>
          <w:sz w:val="19"/>
        </w:rPr>
        <w:t>credit</w:t>
      </w:r>
      <w:r>
        <w:rPr>
          <w:i/>
          <w:spacing w:val="-22"/>
          <w:sz w:val="19"/>
        </w:rPr>
        <w:t xml:space="preserve"> </w:t>
      </w:r>
      <w:r>
        <w:rPr>
          <w:i/>
          <w:sz w:val="19"/>
        </w:rPr>
        <w:t>hours</w:t>
      </w:r>
      <w:r>
        <w:rPr>
          <w:i/>
          <w:spacing w:val="-25"/>
          <w:sz w:val="19"/>
        </w:rPr>
        <w:t xml:space="preserve"> </w:t>
      </w:r>
      <w:r>
        <w:rPr>
          <w:i/>
          <w:sz w:val="19"/>
        </w:rPr>
        <w:t>during</w:t>
      </w:r>
      <w:r>
        <w:rPr>
          <w:i/>
          <w:spacing w:val="-25"/>
          <w:sz w:val="19"/>
        </w:rPr>
        <w:t xml:space="preserve"> </w:t>
      </w:r>
      <w:r>
        <w:rPr>
          <w:i/>
          <w:sz w:val="19"/>
        </w:rPr>
        <w:t>the</w:t>
      </w:r>
      <w:r>
        <w:rPr>
          <w:i/>
          <w:spacing w:val="-23"/>
          <w:sz w:val="19"/>
        </w:rPr>
        <w:t xml:space="preserve"> </w:t>
      </w:r>
      <w:r>
        <w:rPr>
          <w:i/>
          <w:sz w:val="19"/>
        </w:rPr>
        <w:t>fall</w:t>
      </w:r>
      <w:r>
        <w:rPr>
          <w:i/>
          <w:spacing w:val="-24"/>
          <w:sz w:val="19"/>
        </w:rPr>
        <w:t xml:space="preserve"> </w:t>
      </w:r>
      <w:r>
        <w:rPr>
          <w:i/>
          <w:sz w:val="19"/>
        </w:rPr>
        <w:t>and</w:t>
      </w:r>
      <w:r>
        <w:rPr>
          <w:i/>
          <w:spacing w:val="-25"/>
          <w:sz w:val="19"/>
        </w:rPr>
        <w:t xml:space="preserve"> </w:t>
      </w:r>
      <w:r>
        <w:rPr>
          <w:i/>
          <w:sz w:val="19"/>
        </w:rPr>
        <w:t>spring</w:t>
      </w:r>
      <w:r>
        <w:rPr>
          <w:i/>
          <w:spacing w:val="-23"/>
          <w:sz w:val="19"/>
        </w:rPr>
        <w:t xml:space="preserve"> </w:t>
      </w:r>
      <w:r>
        <w:rPr>
          <w:i/>
          <w:sz w:val="19"/>
        </w:rPr>
        <w:t>semesters,</w:t>
      </w:r>
      <w:r>
        <w:rPr>
          <w:i/>
          <w:spacing w:val="-22"/>
          <w:sz w:val="19"/>
        </w:rPr>
        <w:t xml:space="preserve"> </w:t>
      </w:r>
      <w:r>
        <w:rPr>
          <w:i/>
          <w:sz w:val="19"/>
        </w:rPr>
        <w:t>and</w:t>
      </w:r>
      <w:r>
        <w:rPr>
          <w:i/>
          <w:spacing w:val="-23"/>
          <w:sz w:val="19"/>
        </w:rPr>
        <w:t xml:space="preserve"> </w:t>
      </w:r>
      <w:r>
        <w:rPr>
          <w:i/>
          <w:sz w:val="19"/>
        </w:rPr>
        <w:t>fewer</w:t>
      </w:r>
      <w:r>
        <w:rPr>
          <w:i/>
          <w:spacing w:val="-23"/>
          <w:sz w:val="19"/>
        </w:rPr>
        <w:t xml:space="preserve"> </w:t>
      </w:r>
      <w:r>
        <w:rPr>
          <w:i/>
          <w:sz w:val="19"/>
        </w:rPr>
        <w:t>than</w:t>
      </w:r>
      <w:r>
        <w:rPr>
          <w:i/>
          <w:spacing w:val="-24"/>
          <w:sz w:val="19"/>
        </w:rPr>
        <w:t xml:space="preserve"> </w:t>
      </w:r>
      <w:r>
        <w:rPr>
          <w:i/>
          <w:sz w:val="19"/>
        </w:rPr>
        <w:t>three</w:t>
      </w:r>
      <w:r>
        <w:rPr>
          <w:i/>
          <w:spacing w:val="-25"/>
          <w:sz w:val="19"/>
        </w:rPr>
        <w:t xml:space="preserve"> </w:t>
      </w:r>
      <w:r>
        <w:rPr>
          <w:i/>
          <w:sz w:val="19"/>
        </w:rPr>
        <w:t>hours</w:t>
      </w:r>
      <w:r>
        <w:rPr>
          <w:i/>
          <w:spacing w:val="-25"/>
          <w:sz w:val="19"/>
        </w:rPr>
        <w:t xml:space="preserve"> </w:t>
      </w:r>
      <w:r>
        <w:rPr>
          <w:i/>
          <w:sz w:val="19"/>
        </w:rPr>
        <w:t>in</w:t>
      </w:r>
      <w:r>
        <w:rPr>
          <w:i/>
          <w:spacing w:val="-22"/>
          <w:sz w:val="19"/>
        </w:rPr>
        <w:t xml:space="preserve"> </w:t>
      </w:r>
      <w:r>
        <w:rPr>
          <w:i/>
          <w:sz w:val="19"/>
        </w:rPr>
        <w:t>the summer,</w:t>
      </w:r>
      <w:r>
        <w:rPr>
          <w:i/>
          <w:spacing w:val="-30"/>
          <w:sz w:val="19"/>
        </w:rPr>
        <w:t xml:space="preserve"> </w:t>
      </w:r>
      <w:r>
        <w:rPr>
          <w:i/>
          <w:sz w:val="19"/>
        </w:rPr>
        <w:t>except</w:t>
      </w:r>
      <w:r>
        <w:rPr>
          <w:i/>
          <w:spacing w:val="-29"/>
          <w:sz w:val="19"/>
        </w:rPr>
        <w:t xml:space="preserve"> </w:t>
      </w:r>
      <w:r>
        <w:rPr>
          <w:i/>
          <w:sz w:val="19"/>
        </w:rPr>
        <w:t>if</w:t>
      </w:r>
      <w:r>
        <w:rPr>
          <w:i/>
          <w:spacing w:val="-30"/>
          <w:sz w:val="19"/>
        </w:rPr>
        <w:t xml:space="preserve"> </w:t>
      </w:r>
      <w:r>
        <w:rPr>
          <w:i/>
          <w:sz w:val="19"/>
        </w:rPr>
        <w:t>registering</w:t>
      </w:r>
      <w:r>
        <w:rPr>
          <w:i/>
          <w:spacing w:val="-30"/>
          <w:sz w:val="19"/>
        </w:rPr>
        <w:t xml:space="preserve"> </w:t>
      </w:r>
      <w:r>
        <w:rPr>
          <w:i/>
          <w:sz w:val="19"/>
        </w:rPr>
        <w:t>for</w:t>
      </w:r>
      <w:r>
        <w:rPr>
          <w:i/>
          <w:spacing w:val="-31"/>
          <w:sz w:val="19"/>
        </w:rPr>
        <w:t xml:space="preserve"> </w:t>
      </w:r>
      <w:r>
        <w:rPr>
          <w:i/>
          <w:sz w:val="19"/>
        </w:rPr>
        <w:t>this</w:t>
      </w:r>
      <w:r>
        <w:rPr>
          <w:i/>
          <w:spacing w:val="-31"/>
          <w:sz w:val="19"/>
        </w:rPr>
        <w:t xml:space="preserve"> </w:t>
      </w:r>
      <w:r>
        <w:rPr>
          <w:i/>
          <w:sz w:val="19"/>
        </w:rPr>
        <w:t>many</w:t>
      </w:r>
      <w:r>
        <w:rPr>
          <w:i/>
          <w:spacing w:val="-30"/>
          <w:sz w:val="19"/>
        </w:rPr>
        <w:t xml:space="preserve"> </w:t>
      </w:r>
      <w:r>
        <w:rPr>
          <w:i/>
          <w:sz w:val="19"/>
        </w:rPr>
        <w:t>credits</w:t>
      </w:r>
      <w:r>
        <w:rPr>
          <w:i/>
          <w:spacing w:val="-29"/>
          <w:sz w:val="19"/>
        </w:rPr>
        <w:t xml:space="preserve"> </w:t>
      </w:r>
      <w:r>
        <w:rPr>
          <w:i/>
          <w:sz w:val="19"/>
        </w:rPr>
        <w:t>would</w:t>
      </w:r>
      <w:r>
        <w:rPr>
          <w:i/>
          <w:spacing w:val="-31"/>
          <w:sz w:val="19"/>
        </w:rPr>
        <w:t xml:space="preserve"> </w:t>
      </w:r>
      <w:r>
        <w:rPr>
          <w:i/>
          <w:sz w:val="19"/>
        </w:rPr>
        <w:t>result</w:t>
      </w:r>
      <w:r>
        <w:rPr>
          <w:i/>
          <w:spacing w:val="-30"/>
          <w:sz w:val="19"/>
        </w:rPr>
        <w:t xml:space="preserve"> </w:t>
      </w:r>
      <w:r>
        <w:rPr>
          <w:i/>
          <w:sz w:val="19"/>
        </w:rPr>
        <w:t>in</w:t>
      </w:r>
      <w:r>
        <w:rPr>
          <w:i/>
          <w:spacing w:val="-30"/>
          <w:sz w:val="19"/>
        </w:rPr>
        <w:t xml:space="preserve"> </w:t>
      </w:r>
      <w:r>
        <w:rPr>
          <w:i/>
          <w:sz w:val="19"/>
        </w:rPr>
        <w:t>taking</w:t>
      </w:r>
      <w:r>
        <w:rPr>
          <w:i/>
          <w:spacing w:val="-29"/>
          <w:sz w:val="19"/>
        </w:rPr>
        <w:t xml:space="preserve"> </w:t>
      </w:r>
      <w:r>
        <w:rPr>
          <w:i/>
          <w:sz w:val="19"/>
        </w:rPr>
        <w:t>more</w:t>
      </w:r>
      <w:r>
        <w:rPr>
          <w:i/>
          <w:spacing w:val="-31"/>
          <w:sz w:val="19"/>
        </w:rPr>
        <w:t xml:space="preserve"> </w:t>
      </w:r>
      <w:r>
        <w:rPr>
          <w:i/>
          <w:sz w:val="19"/>
        </w:rPr>
        <w:t>credits</w:t>
      </w:r>
      <w:r>
        <w:rPr>
          <w:i/>
          <w:spacing w:val="-31"/>
          <w:sz w:val="19"/>
        </w:rPr>
        <w:t xml:space="preserve"> </w:t>
      </w:r>
      <w:r>
        <w:rPr>
          <w:i/>
          <w:sz w:val="19"/>
        </w:rPr>
        <w:t>than</w:t>
      </w:r>
      <w:r>
        <w:rPr>
          <w:i/>
          <w:spacing w:val="-27"/>
          <w:sz w:val="19"/>
        </w:rPr>
        <w:t xml:space="preserve"> </w:t>
      </w:r>
      <w:r>
        <w:rPr>
          <w:i/>
          <w:sz w:val="19"/>
        </w:rPr>
        <w:t>required</w:t>
      </w:r>
      <w:r>
        <w:rPr>
          <w:i/>
          <w:spacing w:val="-31"/>
          <w:sz w:val="19"/>
        </w:rPr>
        <w:t xml:space="preserve"> </w:t>
      </w:r>
      <w:r>
        <w:rPr>
          <w:i/>
          <w:sz w:val="19"/>
        </w:rPr>
        <w:t>for</w:t>
      </w:r>
      <w:r>
        <w:rPr>
          <w:i/>
          <w:spacing w:val="-30"/>
          <w:sz w:val="19"/>
        </w:rPr>
        <w:t xml:space="preserve"> </w:t>
      </w:r>
      <w:r>
        <w:rPr>
          <w:i/>
          <w:sz w:val="19"/>
        </w:rPr>
        <w:t>the</w:t>
      </w:r>
      <w:r>
        <w:rPr>
          <w:i/>
          <w:spacing w:val="-29"/>
          <w:sz w:val="19"/>
        </w:rPr>
        <w:t xml:space="preserve"> </w:t>
      </w:r>
      <w:r>
        <w:rPr>
          <w:i/>
          <w:sz w:val="19"/>
        </w:rPr>
        <w:t>degree.</w:t>
      </w:r>
    </w:p>
    <w:p w14:paraId="4D4BBBC1" w14:textId="77777777" w:rsidR="008F05D4" w:rsidRDefault="008F05D4">
      <w:pPr>
        <w:pStyle w:val="BodyText"/>
        <w:spacing w:before="11"/>
        <w:rPr>
          <w:i/>
          <w:sz w:val="17"/>
        </w:rPr>
      </w:pPr>
    </w:p>
    <w:p w14:paraId="6D6EA930" w14:textId="77777777" w:rsidR="008F05D4" w:rsidRDefault="00591031">
      <w:pPr>
        <w:spacing w:before="1" w:line="225" w:lineRule="auto"/>
        <w:ind w:left="600" w:right="516"/>
        <w:rPr>
          <w:i/>
          <w:sz w:val="19"/>
        </w:rPr>
      </w:pPr>
      <w:r>
        <w:rPr>
          <w:i/>
          <w:position w:val="6"/>
          <w:sz w:val="12"/>
        </w:rPr>
        <w:t>3</w:t>
      </w:r>
      <w:r>
        <w:rPr>
          <w:i/>
          <w:sz w:val="19"/>
        </w:rPr>
        <w:t>This</w:t>
      </w:r>
      <w:r>
        <w:rPr>
          <w:i/>
          <w:spacing w:val="-31"/>
          <w:sz w:val="19"/>
        </w:rPr>
        <w:t xml:space="preserve"> </w:t>
      </w:r>
      <w:r>
        <w:rPr>
          <w:i/>
          <w:sz w:val="19"/>
        </w:rPr>
        <w:t>chart</w:t>
      </w:r>
      <w:r>
        <w:rPr>
          <w:i/>
          <w:spacing w:val="-29"/>
          <w:sz w:val="19"/>
        </w:rPr>
        <w:t xml:space="preserve"> </w:t>
      </w:r>
      <w:r>
        <w:rPr>
          <w:i/>
          <w:sz w:val="19"/>
        </w:rPr>
        <w:t>includes</w:t>
      </w:r>
      <w:r>
        <w:rPr>
          <w:i/>
          <w:spacing w:val="-29"/>
          <w:sz w:val="19"/>
        </w:rPr>
        <w:t xml:space="preserve"> </w:t>
      </w:r>
      <w:r>
        <w:rPr>
          <w:i/>
          <w:sz w:val="19"/>
        </w:rPr>
        <w:t>a</w:t>
      </w:r>
      <w:r>
        <w:rPr>
          <w:i/>
          <w:spacing w:val="-28"/>
          <w:sz w:val="19"/>
        </w:rPr>
        <w:t xml:space="preserve"> </w:t>
      </w:r>
      <w:r>
        <w:rPr>
          <w:i/>
          <w:sz w:val="19"/>
        </w:rPr>
        <w:t>Medicare</w:t>
      </w:r>
      <w:r>
        <w:rPr>
          <w:i/>
          <w:spacing w:val="-30"/>
          <w:sz w:val="19"/>
        </w:rPr>
        <w:t xml:space="preserve"> </w:t>
      </w:r>
      <w:r>
        <w:rPr>
          <w:i/>
          <w:sz w:val="19"/>
        </w:rPr>
        <w:t>charge</w:t>
      </w:r>
      <w:r>
        <w:rPr>
          <w:i/>
          <w:spacing w:val="-31"/>
          <w:sz w:val="19"/>
        </w:rPr>
        <w:t xml:space="preserve"> </w:t>
      </w:r>
      <w:r>
        <w:rPr>
          <w:i/>
          <w:sz w:val="19"/>
        </w:rPr>
        <w:t>for</w:t>
      </w:r>
      <w:r>
        <w:rPr>
          <w:i/>
          <w:spacing w:val="-28"/>
          <w:sz w:val="19"/>
        </w:rPr>
        <w:t xml:space="preserve"> </w:t>
      </w:r>
      <w:r>
        <w:rPr>
          <w:i/>
          <w:sz w:val="19"/>
        </w:rPr>
        <w:t>employees</w:t>
      </w:r>
      <w:r>
        <w:rPr>
          <w:i/>
          <w:spacing w:val="-30"/>
          <w:sz w:val="19"/>
        </w:rPr>
        <w:t xml:space="preserve"> </w:t>
      </w:r>
      <w:r>
        <w:rPr>
          <w:i/>
          <w:sz w:val="19"/>
        </w:rPr>
        <w:t>hired</w:t>
      </w:r>
      <w:r>
        <w:rPr>
          <w:i/>
          <w:spacing w:val="-27"/>
          <w:sz w:val="19"/>
        </w:rPr>
        <w:t xml:space="preserve"> </w:t>
      </w:r>
      <w:r>
        <w:rPr>
          <w:i/>
          <w:sz w:val="19"/>
        </w:rPr>
        <w:t>after</w:t>
      </w:r>
      <w:r>
        <w:rPr>
          <w:i/>
          <w:spacing w:val="-30"/>
          <w:sz w:val="19"/>
        </w:rPr>
        <w:t xml:space="preserve"> </w:t>
      </w:r>
      <w:r>
        <w:rPr>
          <w:i/>
          <w:sz w:val="19"/>
        </w:rPr>
        <w:t>4/1/86.</w:t>
      </w:r>
      <w:r>
        <w:rPr>
          <w:i/>
          <w:spacing w:val="2"/>
          <w:sz w:val="19"/>
        </w:rPr>
        <w:t xml:space="preserve"> </w:t>
      </w:r>
      <w:r>
        <w:rPr>
          <w:i/>
          <w:sz w:val="19"/>
        </w:rPr>
        <w:t>There</w:t>
      </w:r>
      <w:r>
        <w:rPr>
          <w:i/>
          <w:spacing w:val="-31"/>
          <w:sz w:val="19"/>
        </w:rPr>
        <w:t xml:space="preserve"> </w:t>
      </w:r>
      <w:r>
        <w:rPr>
          <w:i/>
          <w:sz w:val="19"/>
        </w:rPr>
        <w:t>are</w:t>
      </w:r>
      <w:r>
        <w:rPr>
          <w:i/>
          <w:spacing w:val="-30"/>
          <w:sz w:val="19"/>
        </w:rPr>
        <w:t xml:space="preserve"> </w:t>
      </w:r>
      <w:r>
        <w:rPr>
          <w:i/>
          <w:sz w:val="19"/>
        </w:rPr>
        <w:t>no</w:t>
      </w:r>
      <w:r>
        <w:rPr>
          <w:i/>
          <w:spacing w:val="-29"/>
          <w:sz w:val="19"/>
        </w:rPr>
        <w:t xml:space="preserve"> </w:t>
      </w:r>
      <w:r>
        <w:rPr>
          <w:i/>
          <w:sz w:val="19"/>
        </w:rPr>
        <w:t>Medicare</w:t>
      </w:r>
      <w:r>
        <w:rPr>
          <w:i/>
          <w:spacing w:val="-28"/>
          <w:sz w:val="19"/>
        </w:rPr>
        <w:t xml:space="preserve"> </w:t>
      </w:r>
      <w:r>
        <w:rPr>
          <w:i/>
          <w:sz w:val="19"/>
        </w:rPr>
        <w:t>charges</w:t>
      </w:r>
      <w:r>
        <w:rPr>
          <w:i/>
          <w:spacing w:val="-30"/>
          <w:sz w:val="19"/>
        </w:rPr>
        <w:t xml:space="preserve"> </w:t>
      </w:r>
      <w:r>
        <w:rPr>
          <w:i/>
          <w:sz w:val="19"/>
        </w:rPr>
        <w:t>for employees hired before that</w:t>
      </w:r>
      <w:r>
        <w:rPr>
          <w:i/>
          <w:spacing w:val="-20"/>
          <w:sz w:val="19"/>
        </w:rPr>
        <w:t xml:space="preserve"> </w:t>
      </w:r>
      <w:r>
        <w:rPr>
          <w:i/>
          <w:sz w:val="19"/>
        </w:rPr>
        <w:t>date.</w:t>
      </w:r>
    </w:p>
    <w:p w14:paraId="495D7A9E" w14:textId="77777777" w:rsidR="008F05D4" w:rsidRDefault="008F05D4">
      <w:pPr>
        <w:pStyle w:val="BodyText"/>
        <w:spacing w:before="11"/>
        <w:rPr>
          <w:i/>
          <w:sz w:val="19"/>
        </w:rPr>
      </w:pPr>
    </w:p>
    <w:p w14:paraId="2235D3B2" w14:textId="77777777" w:rsidR="008F05D4" w:rsidRDefault="00591031">
      <w:pPr>
        <w:pStyle w:val="Heading2"/>
        <w:ind w:left="600"/>
      </w:pPr>
      <w:r>
        <w:rPr>
          <w:color w:val="0070C0"/>
        </w:rPr>
        <w:t>FRINGE BENEFIT RATES</w:t>
      </w:r>
    </w:p>
    <w:p w14:paraId="06071468" w14:textId="77777777" w:rsidR="008F05D4" w:rsidRDefault="008F05D4">
      <w:pPr>
        <w:pStyle w:val="BodyText"/>
        <w:spacing w:before="2"/>
        <w:rPr>
          <w:b/>
        </w:rPr>
      </w:pPr>
    </w:p>
    <w:p w14:paraId="58A68ADC" w14:textId="7D322567" w:rsidR="008F05D4" w:rsidRDefault="00591031">
      <w:pPr>
        <w:pStyle w:val="BodyText"/>
        <w:ind w:left="600" w:right="516"/>
      </w:pPr>
      <w:r>
        <w:t>The fringe benefit rates are updated annually. Unlike facilities and administrative cost rates, changes in fringe benefit rates are assessed immediately when they become effective, even if the budgeted rates are different. Fringe benefit rate changes for FY2</w:t>
      </w:r>
      <w:r w:rsidR="00BD5021">
        <w:t>2</w:t>
      </w:r>
      <w:r>
        <w:t xml:space="preserve"> are effective July 1, 20</w:t>
      </w:r>
      <w:r w:rsidR="00B95CB4">
        <w:t>2</w:t>
      </w:r>
      <w:r w:rsidR="00BD5021">
        <w:t>1</w:t>
      </w:r>
      <w:r>
        <w:t>.</w:t>
      </w:r>
    </w:p>
    <w:p w14:paraId="0829F2CA" w14:textId="77777777" w:rsidR="008F05D4" w:rsidRDefault="008F05D4">
      <w:pPr>
        <w:pStyle w:val="BodyText"/>
      </w:pPr>
    </w:p>
    <w:p w14:paraId="4C53F331" w14:textId="77777777" w:rsidR="008F05D4" w:rsidRDefault="00591031">
      <w:pPr>
        <w:ind w:left="599"/>
        <w:rPr>
          <w:b/>
          <w:sz w:val="20"/>
        </w:rPr>
      </w:pPr>
      <w:r>
        <w:rPr>
          <w:b/>
          <w:sz w:val="20"/>
        </w:rPr>
        <w:t>QUESTIONS</w:t>
      </w:r>
    </w:p>
    <w:p w14:paraId="4BA58766" w14:textId="77777777" w:rsidR="008F05D4" w:rsidRDefault="008F05D4">
      <w:pPr>
        <w:pStyle w:val="BodyText"/>
        <w:spacing w:before="11"/>
        <w:rPr>
          <w:b/>
          <w:sz w:val="19"/>
        </w:rPr>
      </w:pPr>
    </w:p>
    <w:p w14:paraId="284843C6" w14:textId="2A7FB21B" w:rsidR="008F05D4" w:rsidRDefault="00591031">
      <w:pPr>
        <w:pStyle w:val="BodyText"/>
        <w:ind w:left="599" w:right="780"/>
      </w:pPr>
      <w:r>
        <w:t xml:space="preserve">Questions related to rate applications in proposals should be directed to </w:t>
      </w:r>
      <w:r w:rsidR="00B95CB4">
        <w:t>Susan Ryherd</w:t>
      </w:r>
      <w:r>
        <w:t>, Director</w:t>
      </w:r>
      <w:r w:rsidR="00EC2529">
        <w:t>,</w:t>
      </w:r>
      <w:r>
        <w:t xml:space="preserve"> Research Administration at </w:t>
      </w:r>
      <w:r w:rsidR="00EC2529">
        <w:t>217-</w:t>
      </w:r>
      <w:r>
        <w:t xml:space="preserve">206-7409, </w:t>
      </w:r>
      <w:hyperlink r:id="rId9">
        <w:r>
          <w:rPr>
            <w:color w:val="0000FF"/>
            <w:u w:val="single" w:color="0000FF"/>
          </w:rPr>
          <w:t>ora@uis.edu</w:t>
        </w:r>
        <w:r>
          <w:t>.</w:t>
        </w:r>
      </w:hyperlink>
    </w:p>
    <w:p w14:paraId="775CD619" w14:textId="77777777" w:rsidR="008F05D4" w:rsidRDefault="008F05D4">
      <w:pPr>
        <w:pStyle w:val="BodyText"/>
        <w:spacing w:before="10"/>
        <w:rPr>
          <w:sz w:val="11"/>
        </w:rPr>
      </w:pPr>
    </w:p>
    <w:p w14:paraId="3F8E6EC0" w14:textId="77777777" w:rsidR="008F05D4" w:rsidRDefault="00591031">
      <w:pPr>
        <w:pStyle w:val="BodyText"/>
        <w:spacing w:before="99"/>
        <w:ind w:left="600" w:right="1053" w:hanging="1"/>
      </w:pPr>
      <w:r>
        <w:t xml:space="preserve">Questions related to rate applications to project financial funds should be directed to Research and Sponsored Programs Post-Award, at 217-206-7849 or 217-206-6558, </w:t>
      </w:r>
      <w:hyperlink r:id="rId10">
        <w:r>
          <w:rPr>
            <w:color w:val="0000FF"/>
            <w:u w:val="single" w:color="0000FF"/>
          </w:rPr>
          <w:t>uisgcopostaward@uillinois.edu</w:t>
        </w:r>
        <w:r>
          <w:t>.</w:t>
        </w:r>
      </w:hyperlink>
    </w:p>
    <w:sectPr w:rsidR="008F05D4">
      <w:pgSz w:w="12240" w:h="15840"/>
      <w:pgMar w:top="1740" w:right="820" w:bottom="1700" w:left="840" w:header="1442"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B2F3" w14:textId="77777777" w:rsidR="00BD41DC" w:rsidRDefault="00BD41DC">
      <w:r>
        <w:separator/>
      </w:r>
    </w:p>
  </w:endnote>
  <w:endnote w:type="continuationSeparator" w:id="0">
    <w:p w14:paraId="0EA8ACA7" w14:textId="77777777" w:rsidR="00BD41DC" w:rsidRDefault="00BD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B028" w14:textId="28BE133E" w:rsidR="008F05D4" w:rsidRDefault="00EC2529">
    <w:pPr>
      <w:pStyle w:val="BodyText"/>
      <w:spacing w:line="14" w:lineRule="auto"/>
    </w:pPr>
    <w:r>
      <w:rPr>
        <w:noProof/>
        <w:lang w:bidi="ar-SA"/>
      </w:rPr>
      <mc:AlternateContent>
        <mc:Choice Requires="wps">
          <w:drawing>
            <wp:anchor distT="0" distB="0" distL="114300" distR="114300" simplePos="0" relativeHeight="503308064" behindDoc="1" locked="0" layoutInCell="1" allowOverlap="1" wp14:anchorId="7EE042AB" wp14:editId="1ABB9133">
              <wp:simplePos x="0" y="0"/>
              <wp:positionH relativeFrom="page">
                <wp:posOffset>3822700</wp:posOffset>
              </wp:positionH>
              <wp:positionV relativeFrom="page">
                <wp:posOffset>8959215</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A6901" w14:textId="2020535F" w:rsidR="008F05D4" w:rsidRDefault="00591031">
                          <w:pPr>
                            <w:spacing w:before="10"/>
                            <w:ind w:left="40"/>
                            <w:rPr>
                              <w:rFonts w:ascii="Times New Roman"/>
                              <w:sz w:val="24"/>
                            </w:rPr>
                          </w:pPr>
                          <w:r>
                            <w:fldChar w:fldCharType="begin"/>
                          </w:r>
                          <w:r>
                            <w:rPr>
                              <w:rFonts w:ascii="Times New Roman"/>
                              <w:sz w:val="24"/>
                            </w:rPr>
                            <w:instrText xml:space="preserve"> PAGE </w:instrText>
                          </w:r>
                          <w:r>
                            <w:fldChar w:fldCharType="separate"/>
                          </w:r>
                          <w:r w:rsidR="00BD41DC">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042AB" id="_x0000_t202" coordsize="21600,21600" o:spt="202" path="m,l,21600r21600,l21600,xe">
              <v:stroke joinstyle="miter"/>
              <v:path gradientshapeok="t" o:connecttype="rect"/>
            </v:shapetype>
            <v:shape id="Text Box 1" o:spid="_x0000_s1027" type="#_x0000_t202" style="position:absolute;margin-left:301pt;margin-top:705.45pt;width:10pt;height:15.3pt;z-index:-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" filled="f" stroked="f">
              <v:textbox inset="0,0,0,0">
                <w:txbxContent>
                  <w:p w14:paraId="6AAA6901" w14:textId="2020535F" w:rsidR="008F05D4" w:rsidRDefault="00591031">
                    <w:pPr>
                      <w:spacing w:before="10"/>
                      <w:ind w:left="40"/>
                      <w:rPr>
                        <w:rFonts w:ascii="Times New Roman"/>
                        <w:sz w:val="24"/>
                      </w:rPr>
                    </w:pPr>
                    <w:r>
                      <w:fldChar w:fldCharType="begin"/>
                    </w:r>
                    <w:r>
                      <w:rPr>
                        <w:rFonts w:ascii="Times New Roman"/>
                        <w:sz w:val="24"/>
                      </w:rPr>
                      <w:instrText xml:space="preserve"> PAGE </w:instrText>
                    </w:r>
                    <w:r>
                      <w:fldChar w:fldCharType="separate"/>
                    </w:r>
                    <w:r w:rsidR="00BD41DC">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05521" w14:textId="77777777" w:rsidR="00BD41DC" w:rsidRDefault="00BD41DC">
      <w:r>
        <w:separator/>
      </w:r>
    </w:p>
  </w:footnote>
  <w:footnote w:type="continuationSeparator" w:id="0">
    <w:p w14:paraId="532030DC" w14:textId="77777777" w:rsidR="00BD41DC" w:rsidRDefault="00BD4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1B2A" w14:textId="0486FB28" w:rsidR="008F05D4" w:rsidRDefault="00EC2529">
    <w:pPr>
      <w:pStyle w:val="BodyText"/>
      <w:spacing w:line="14" w:lineRule="auto"/>
    </w:pPr>
    <w:r>
      <w:rPr>
        <w:noProof/>
        <w:lang w:bidi="ar-SA"/>
      </w:rPr>
      <mc:AlternateContent>
        <mc:Choice Requires="wps">
          <w:drawing>
            <wp:anchor distT="0" distB="0" distL="114300" distR="114300" simplePos="0" relativeHeight="503308040" behindDoc="1" locked="0" layoutInCell="1" allowOverlap="1" wp14:anchorId="590DBB88" wp14:editId="7B79A39F">
              <wp:simplePos x="0" y="0"/>
              <wp:positionH relativeFrom="page">
                <wp:posOffset>2451735</wp:posOffset>
              </wp:positionH>
              <wp:positionV relativeFrom="page">
                <wp:posOffset>902970</wp:posOffset>
              </wp:positionV>
              <wp:extent cx="2868295" cy="224155"/>
              <wp:effectExtent l="381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9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A9A65" w14:textId="77777777" w:rsidR="008F05D4" w:rsidRDefault="00591031">
                          <w:pPr>
                            <w:spacing w:before="19"/>
                            <w:ind w:left="20"/>
                            <w:rPr>
                              <w:b/>
                              <w:sz w:val="26"/>
                            </w:rPr>
                          </w:pPr>
                          <w:r>
                            <w:rPr>
                              <w:b/>
                              <w:sz w:val="26"/>
                            </w:rPr>
                            <w:t>University of Illinois at Springfield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DBB88" id="_x0000_t202" coordsize="21600,21600" o:spt="202" path="m,l,21600r21600,l21600,xe">
              <v:stroke joinstyle="miter"/>
              <v:path gradientshapeok="t" o:connecttype="rect"/>
            </v:shapetype>
            <v:shape id="Text Box 2" o:spid="_x0000_s1026" type="#_x0000_t202" style="position:absolute;margin-left:193.05pt;margin-top:71.1pt;width:225.85pt;height:17.65pt;z-index:-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" filled="f" stroked="f">
              <v:textbox inset="0,0,0,0">
                <w:txbxContent>
                  <w:p w14:paraId="7C6A9A65" w14:textId="77777777" w:rsidR="008F05D4" w:rsidRDefault="00591031">
                    <w:pPr>
                      <w:spacing w:before="19"/>
                      <w:ind w:left="20"/>
                      <w:rPr>
                        <w:b/>
                        <w:sz w:val="26"/>
                      </w:rPr>
                    </w:pPr>
                    <w:r>
                      <w:rPr>
                        <w:b/>
                        <w:sz w:val="26"/>
                      </w:rPr>
                      <w:t>University of Illinois at Springfield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02F39"/>
    <w:multiLevelType w:val="hybridMultilevel"/>
    <w:tmpl w:val="A01016A2"/>
    <w:lvl w:ilvl="0" w:tplc="9530B9A2">
      <w:numFmt w:val="bullet"/>
      <w:lvlText w:val=""/>
      <w:lvlJc w:val="left"/>
      <w:pPr>
        <w:ind w:left="1319" w:hanging="360"/>
      </w:pPr>
      <w:rPr>
        <w:rFonts w:ascii="Wingdings" w:eastAsia="Wingdings" w:hAnsi="Wingdings" w:cs="Wingdings" w:hint="default"/>
        <w:w w:val="99"/>
        <w:sz w:val="20"/>
        <w:szCs w:val="20"/>
        <w:lang w:val="en-US" w:eastAsia="en-US" w:bidi="en-US"/>
      </w:rPr>
    </w:lvl>
    <w:lvl w:ilvl="1" w:tplc="2DF09CDA">
      <w:numFmt w:val="bullet"/>
      <w:lvlText w:val="•"/>
      <w:lvlJc w:val="left"/>
      <w:pPr>
        <w:ind w:left="2246" w:hanging="360"/>
      </w:pPr>
      <w:rPr>
        <w:rFonts w:hint="default"/>
        <w:lang w:val="en-US" w:eastAsia="en-US" w:bidi="en-US"/>
      </w:rPr>
    </w:lvl>
    <w:lvl w:ilvl="2" w:tplc="F1C22664">
      <w:numFmt w:val="bullet"/>
      <w:lvlText w:val="•"/>
      <w:lvlJc w:val="left"/>
      <w:pPr>
        <w:ind w:left="3172" w:hanging="360"/>
      </w:pPr>
      <w:rPr>
        <w:rFonts w:hint="default"/>
        <w:lang w:val="en-US" w:eastAsia="en-US" w:bidi="en-US"/>
      </w:rPr>
    </w:lvl>
    <w:lvl w:ilvl="3" w:tplc="37C0341A">
      <w:numFmt w:val="bullet"/>
      <w:lvlText w:val="•"/>
      <w:lvlJc w:val="left"/>
      <w:pPr>
        <w:ind w:left="4098" w:hanging="360"/>
      </w:pPr>
      <w:rPr>
        <w:rFonts w:hint="default"/>
        <w:lang w:val="en-US" w:eastAsia="en-US" w:bidi="en-US"/>
      </w:rPr>
    </w:lvl>
    <w:lvl w:ilvl="4" w:tplc="23001DF8">
      <w:numFmt w:val="bullet"/>
      <w:lvlText w:val="•"/>
      <w:lvlJc w:val="left"/>
      <w:pPr>
        <w:ind w:left="5024" w:hanging="360"/>
      </w:pPr>
      <w:rPr>
        <w:rFonts w:hint="default"/>
        <w:lang w:val="en-US" w:eastAsia="en-US" w:bidi="en-US"/>
      </w:rPr>
    </w:lvl>
    <w:lvl w:ilvl="5" w:tplc="1EA630EE">
      <w:numFmt w:val="bullet"/>
      <w:lvlText w:val="•"/>
      <w:lvlJc w:val="left"/>
      <w:pPr>
        <w:ind w:left="5950" w:hanging="360"/>
      </w:pPr>
      <w:rPr>
        <w:rFonts w:hint="default"/>
        <w:lang w:val="en-US" w:eastAsia="en-US" w:bidi="en-US"/>
      </w:rPr>
    </w:lvl>
    <w:lvl w:ilvl="6" w:tplc="8410C698">
      <w:numFmt w:val="bullet"/>
      <w:lvlText w:val="•"/>
      <w:lvlJc w:val="left"/>
      <w:pPr>
        <w:ind w:left="6876" w:hanging="360"/>
      </w:pPr>
      <w:rPr>
        <w:rFonts w:hint="default"/>
        <w:lang w:val="en-US" w:eastAsia="en-US" w:bidi="en-US"/>
      </w:rPr>
    </w:lvl>
    <w:lvl w:ilvl="7" w:tplc="2E30567E">
      <w:numFmt w:val="bullet"/>
      <w:lvlText w:val="•"/>
      <w:lvlJc w:val="left"/>
      <w:pPr>
        <w:ind w:left="7802" w:hanging="360"/>
      </w:pPr>
      <w:rPr>
        <w:rFonts w:hint="default"/>
        <w:lang w:val="en-US" w:eastAsia="en-US" w:bidi="en-US"/>
      </w:rPr>
    </w:lvl>
    <w:lvl w:ilvl="8" w:tplc="7F206268">
      <w:numFmt w:val="bullet"/>
      <w:lvlText w:val="•"/>
      <w:lvlJc w:val="left"/>
      <w:pPr>
        <w:ind w:left="872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D4"/>
    <w:rsid w:val="00002282"/>
    <w:rsid w:val="00285A33"/>
    <w:rsid w:val="002A206E"/>
    <w:rsid w:val="003D7C5F"/>
    <w:rsid w:val="00577B86"/>
    <w:rsid w:val="00591031"/>
    <w:rsid w:val="00863CE5"/>
    <w:rsid w:val="008F05D4"/>
    <w:rsid w:val="00B27CAA"/>
    <w:rsid w:val="00B95CB4"/>
    <w:rsid w:val="00BD41DC"/>
    <w:rsid w:val="00BD5021"/>
    <w:rsid w:val="00C9335A"/>
    <w:rsid w:val="00D822EA"/>
    <w:rsid w:val="00E56D9D"/>
    <w:rsid w:val="00E572B1"/>
    <w:rsid w:val="00EC2529"/>
    <w:rsid w:val="00F4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7421E0"/>
  <w15:docId w15:val="{2AE37C1F-26FA-4CCB-92AA-3605BC32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20"/>
      <w:outlineLvl w:val="0"/>
    </w:pPr>
    <w:rPr>
      <w:b/>
      <w:bCs/>
      <w:sz w:val="26"/>
      <w:szCs w:val="26"/>
    </w:rPr>
  </w:style>
  <w:style w:type="paragraph" w:styleId="Heading2">
    <w:name w:val="heading 2"/>
    <w:basedOn w:val="Normal"/>
    <w:uiPriority w:val="1"/>
    <w:qFormat/>
    <w:pPr>
      <w:ind w:left="59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1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C2529"/>
    <w:rPr>
      <w:sz w:val="16"/>
      <w:szCs w:val="16"/>
    </w:rPr>
  </w:style>
  <w:style w:type="paragraph" w:styleId="CommentText">
    <w:name w:val="annotation text"/>
    <w:basedOn w:val="Normal"/>
    <w:link w:val="CommentTextChar"/>
    <w:uiPriority w:val="99"/>
    <w:semiHidden/>
    <w:unhideWhenUsed/>
    <w:rsid w:val="00EC2529"/>
    <w:rPr>
      <w:sz w:val="20"/>
      <w:szCs w:val="20"/>
    </w:rPr>
  </w:style>
  <w:style w:type="character" w:customStyle="1" w:styleId="CommentTextChar">
    <w:name w:val="Comment Text Char"/>
    <w:basedOn w:val="DefaultParagraphFont"/>
    <w:link w:val="CommentText"/>
    <w:uiPriority w:val="99"/>
    <w:semiHidden/>
    <w:rsid w:val="00EC2529"/>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EC2529"/>
    <w:rPr>
      <w:b/>
      <w:bCs/>
    </w:rPr>
  </w:style>
  <w:style w:type="character" w:customStyle="1" w:styleId="CommentSubjectChar">
    <w:name w:val="Comment Subject Char"/>
    <w:basedOn w:val="CommentTextChar"/>
    <w:link w:val="CommentSubject"/>
    <w:uiPriority w:val="99"/>
    <w:semiHidden/>
    <w:rsid w:val="00EC2529"/>
    <w:rPr>
      <w:rFonts w:ascii="Tahoma" w:eastAsia="Tahoma" w:hAnsi="Tahoma" w:cs="Tahoma"/>
      <w:b/>
      <w:bCs/>
      <w:sz w:val="20"/>
      <w:szCs w:val="20"/>
      <w:lang w:bidi="en-US"/>
    </w:rPr>
  </w:style>
  <w:style w:type="paragraph" w:styleId="BalloonText">
    <w:name w:val="Balloon Text"/>
    <w:basedOn w:val="Normal"/>
    <w:link w:val="BalloonTextChar"/>
    <w:uiPriority w:val="99"/>
    <w:semiHidden/>
    <w:unhideWhenUsed/>
    <w:rsid w:val="00EC2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529"/>
    <w:rPr>
      <w:rFonts w:ascii="Segoe UI" w:eastAsia="Tahom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isgcopostaward@uillinois.edu" TargetMode="External"/><Relationship Id="rId4" Type="http://schemas.openxmlformats.org/officeDocument/2006/relationships/webSettings" Target="webSettings.xml"/><Relationship Id="rId9" Type="http://schemas.openxmlformats.org/officeDocument/2006/relationships/hyperlink" Target="mailto:ora@u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Updated 07/23/07 Springfield Campus</vt:lpstr>
    </vt:vector>
  </TitlesOfParts>
  <Company>University of Illinois</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07/23/07 Springfield Campus</dc:title>
  <dc:creator>RJONE1</dc:creator>
  <cp:lastModifiedBy>Otto, Jennifer</cp:lastModifiedBy>
  <cp:revision>6</cp:revision>
  <dcterms:created xsi:type="dcterms:W3CDTF">2021-07-30T13:40:00Z</dcterms:created>
  <dcterms:modified xsi:type="dcterms:W3CDTF">2021-12-20T15:46:00Z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Acrobat PDFMaker 18 for Word</vt:lpwstr>
  </property>
  <property fmtid="{D5CDD505-2E9C-101B-9397-08002B2CF9AE}" pid="4" name="LastSaved">
    <vt:filetime>2019-07-31T00:00:00Z</vt:filetime>
  </property>
</Properties>
</file>